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5D508">
      <w:pPr>
        <w:pStyle w:val="2"/>
        <w:widowControl/>
        <w:spacing w:beforeAutospacing="0" w:afterAutospacing="0" w:line="450" w:lineRule="atLeast"/>
        <w:rPr>
          <w:rFonts w:ascii="黑体" w:hAnsi="黑体" w:eastAsia="黑体" w:cs="微软雅黑"/>
          <w:b w:val="0"/>
          <w:color w:val="000000" w:themeColor="text1"/>
          <w:sz w:val="32"/>
          <w:szCs w:val="32"/>
          <w14:textFill>
            <w14:solidFill>
              <w14:schemeClr w14:val="tx1"/>
            </w14:solidFill>
          </w14:textFill>
        </w:rPr>
      </w:pPr>
      <w:r>
        <w:rPr>
          <w:rFonts w:ascii="黑体" w:hAnsi="黑体" w:eastAsia="黑体" w:cs="微软雅黑"/>
          <w:b w:val="0"/>
          <w:color w:val="000000" w:themeColor="text1"/>
          <w:sz w:val="32"/>
          <w:szCs w:val="32"/>
          <w14:textFill>
            <w14:solidFill>
              <w14:schemeClr w14:val="tx1"/>
            </w14:solidFill>
          </w14:textFill>
        </w:rPr>
        <w:t>附件：</w:t>
      </w:r>
    </w:p>
    <w:p w14:paraId="5A353762">
      <w:pPr>
        <w:pStyle w:val="2"/>
        <w:widowControl/>
        <w:spacing w:beforeAutospacing="0" w:afterAutospacing="0" w:line="450" w:lineRule="atLeast"/>
        <w:jc w:val="center"/>
        <w:rPr>
          <w:rFonts w:ascii="方正小标宋简体" w:hAnsi="微软雅黑" w:eastAsia="方正小标宋简体" w:cs="微软雅黑"/>
          <w:b w:val="0"/>
          <w:color w:val="000000" w:themeColor="text1"/>
          <w:sz w:val="22"/>
          <w:szCs w:val="44"/>
          <w14:textFill>
            <w14:solidFill>
              <w14:schemeClr w14:val="tx1"/>
            </w14:solidFill>
          </w14:textFill>
        </w:rPr>
      </w:pPr>
    </w:p>
    <w:p w14:paraId="6858E3E4">
      <w:pPr>
        <w:pStyle w:val="2"/>
        <w:widowControl/>
        <w:spacing w:beforeAutospacing="0" w:afterAutospacing="0" w:line="700" w:lineRule="exact"/>
        <w:jc w:val="center"/>
        <w:rPr>
          <w:rFonts w:ascii="方正小标宋简体" w:hAnsi="微软雅黑" w:eastAsia="方正小标宋简体" w:cs="微软雅黑"/>
          <w:b w:val="0"/>
          <w:color w:val="000000" w:themeColor="text1"/>
          <w:sz w:val="44"/>
          <w:szCs w:val="44"/>
          <w14:textFill>
            <w14:solidFill>
              <w14:schemeClr w14:val="tx1"/>
            </w14:solidFill>
          </w14:textFill>
        </w:rPr>
      </w:pPr>
      <w:r>
        <w:rPr>
          <w:rFonts w:ascii="方正小标宋简体" w:hAnsi="微软雅黑" w:eastAsia="方正小标宋简体" w:cs="微软雅黑"/>
          <w:b w:val="0"/>
          <w:color w:val="000000" w:themeColor="text1"/>
          <w:sz w:val="44"/>
          <w:szCs w:val="44"/>
          <w14:textFill>
            <w14:solidFill>
              <w14:schemeClr w14:val="tx1"/>
            </w14:solidFill>
          </w14:textFill>
        </w:rPr>
        <w:t>四川省科学技术厅关于开展2024年度四川省科学技术奖提名工作的通知</w:t>
      </w:r>
    </w:p>
    <w:p w14:paraId="105B2816">
      <w:pPr>
        <w:widowControl/>
        <w:rPr>
          <w:rFonts w:hint="eastAsia" w:ascii="仿宋_GB2312" w:hAnsi="Times New Roman" w:eastAsia="仿宋_GB2312" w:cs="仿宋_GB2312"/>
          <w:color w:val="000000" w:themeColor="text1"/>
          <w:kern w:val="0"/>
          <w:sz w:val="32"/>
          <w:szCs w:val="32"/>
          <w:lang w:bidi="ar"/>
          <w14:textFill>
            <w14:solidFill>
              <w14:schemeClr w14:val="tx1"/>
            </w14:solidFill>
          </w14:textFill>
        </w:rPr>
      </w:pPr>
    </w:p>
    <w:p w14:paraId="352B943F">
      <w:pPr>
        <w:widowControl/>
        <w:rPr>
          <w:rFonts w:ascii="Calibri" w:hAnsi="Calibri" w:cs="Calibri"/>
          <w:color w:val="000000" w:themeColor="text1"/>
          <w:sz w:val="32"/>
          <w:szCs w:val="32"/>
          <w14:textFill>
            <w14:solidFill>
              <w14:schemeClr w14:val="tx1"/>
            </w14:solidFill>
          </w14:textFill>
        </w:rPr>
      </w:pPr>
      <w:r>
        <w:rPr>
          <w:rFonts w:ascii="仿宋_GB2312" w:hAnsi="Times New Roman" w:eastAsia="仿宋_GB2312" w:cs="仿宋_GB2312"/>
          <w:color w:val="000000" w:themeColor="text1"/>
          <w:kern w:val="0"/>
          <w:sz w:val="32"/>
          <w:szCs w:val="32"/>
          <w:lang w:bidi="ar"/>
          <w14:textFill>
            <w14:solidFill>
              <w14:schemeClr w14:val="tx1"/>
            </w14:solidFill>
          </w14:textFill>
        </w:rPr>
        <w:t>各提名单位、有关专家：</w:t>
      </w:r>
    </w:p>
    <w:p w14:paraId="63E2F65F">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按照《四川省科学技术奖励办法》及其实施细则的规定，现将</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年度四川省科学技术奖提名工作有关事项通知如下：</w:t>
      </w:r>
    </w:p>
    <w:p w14:paraId="15129147">
      <w:pPr>
        <w:widowControl/>
        <w:ind w:firstLine="640"/>
        <w:rPr>
          <w:rFonts w:ascii="Calibri" w:hAnsi="Calibri" w:cs="Calibri"/>
          <w:color w:val="000000" w:themeColor="text1"/>
          <w:sz w:val="32"/>
          <w:szCs w:val="32"/>
          <w14:textFill>
            <w14:solidFill>
              <w14:schemeClr w14:val="tx1"/>
            </w14:solidFill>
          </w14:textFill>
        </w:rPr>
      </w:pPr>
      <w:r>
        <w:rPr>
          <w:rFonts w:ascii="黑体" w:hAnsi="宋体" w:eastAsia="黑体" w:cs="黑体"/>
          <w:color w:val="000000" w:themeColor="text1"/>
          <w:kern w:val="0"/>
          <w:sz w:val="32"/>
          <w:szCs w:val="32"/>
          <w:lang w:bidi="ar"/>
          <w14:textFill>
            <w14:solidFill>
              <w14:schemeClr w14:val="tx1"/>
            </w14:solidFill>
          </w14:textFill>
        </w:rPr>
        <w:t>一、奖励导向</w:t>
      </w:r>
    </w:p>
    <w:p w14:paraId="045C0074">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四川省科学技术奖全面贯彻党的二十大和二十届三中全会精神，服务国家高水平科技自立自强，服务四川经济社会高质量发展，以评选有价值的原创性、引领性重大科技成果为导向，强化对基础研究、应用基础研究成果的奖励，奖励真正作出创造性贡献的科学家和一线科技人员。</w:t>
      </w:r>
    </w:p>
    <w:p w14:paraId="588A0355">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二、提名奖种</w:t>
      </w:r>
    </w:p>
    <w:p w14:paraId="41AEBFA0">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根据《四川省科学技术奖励办法》，四川省科学技术奖提名奖种包括科学技术杰出贡献奖、杰出青年科学技术创新奖、自然科学奖、技术发明奖、科学技术进步奖、国际科学技术合作奖。</w:t>
      </w:r>
    </w:p>
    <w:p w14:paraId="67FA3E9B">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三、提名方式</w:t>
      </w:r>
    </w:p>
    <w:p w14:paraId="0640A637">
      <w:pPr>
        <w:ind w:firstLine="641"/>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四川省科学技术奖实行提名制度，不受理自荐。提名方式分为单位提名和专家提名。</w:t>
      </w:r>
    </w:p>
    <w:p w14:paraId="793540A7">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（一）单位提名</w:t>
      </w:r>
    </w:p>
    <w:p w14:paraId="0AFE3B1C">
      <w:pPr>
        <w:widowControl/>
        <w:ind w:firstLine="640"/>
        <w:jc w:val="left"/>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提名单位包括：省直相关部门、市（州）人民政府，科技厅明确的符合提名规定资格条件的高校、科研院所、企业、学会、协会等组织机构（见附件</w:t>
      </w: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p>
    <w:p w14:paraId="562E5EFD">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（二）专家提名</w:t>
      </w:r>
    </w:p>
    <w:p w14:paraId="4BFEE421">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国家最高科学技术奖获得者、中国科学院院士、中国工程院院士、省科学技术杰出贡献奖获得者、国家科学技术奖一等奖获奖项目的第一完成人每人每年度可提名</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项（名）所熟悉专业的省科学技术奖。</w:t>
      </w:r>
    </w:p>
    <w:p w14:paraId="0C82A620">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国家科学技术奖二等奖获奖项目第一完成人每年度可</w:t>
      </w: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人及以上共同提名</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项（名）所熟悉专业的省科学技术奖。联合提名时列第</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位的专家为责任专家，责任专家须为在川工作的专家。</w:t>
      </w:r>
    </w:p>
    <w:p w14:paraId="0B2BCED4">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专家应提名本人所从事的学科或专业领域的项目</w:t>
      </w:r>
      <w:r>
        <w:rPr>
          <w:rFonts w:hint="eastAsia" w:ascii="仿宋_GB2312" w:hAnsi="Calibri" w:eastAsia="仿宋_GB2312" w:cs="仿宋_GB2312"/>
          <w:color w:val="000000" w:themeColor="text1"/>
          <w:kern w:val="0"/>
          <w:sz w:val="32"/>
          <w:szCs w:val="32"/>
          <w:lang w:bidi="ar"/>
          <w14:textFill>
            <w14:solidFill>
              <w14:schemeClr w14:val="tx1"/>
            </w14:solidFill>
          </w14:textFill>
        </w:rPr>
        <w:t>或</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人选。与提名项目任一完成人同一单位的专家不超过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人。当提名项目（人选）出现异议时，责任专家应协助处理。</w:t>
      </w:r>
    </w:p>
    <w:p w14:paraId="2AAA4D25">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提名专家年龄应不超过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65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岁（</w:t>
      </w:r>
      <w:r>
        <w:rPr>
          <w:rFonts w:ascii="Times New Roman" w:hAnsi="Times New Roman" w:eastAsia="Noto Sans SC" w:cs="Times New Roman"/>
          <w:color w:val="000000" w:themeColor="text1"/>
          <w:kern w:val="0"/>
          <w:sz w:val="32"/>
          <w:szCs w:val="32"/>
          <w:lang w:bidi="ar"/>
          <w14:textFill>
            <w14:solidFill>
              <w14:schemeClr w14:val="tx1"/>
            </w14:solidFill>
          </w14:textFill>
        </w:rPr>
        <w:t>1959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日后出生），院士年龄不超过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75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岁（</w:t>
      </w:r>
      <w:r>
        <w:rPr>
          <w:rFonts w:ascii="Times New Roman" w:hAnsi="Times New Roman" w:eastAsia="Noto Sans SC" w:cs="Times New Roman"/>
          <w:color w:val="000000" w:themeColor="text1"/>
          <w:kern w:val="0"/>
          <w:sz w:val="32"/>
          <w:szCs w:val="32"/>
          <w:lang w:bidi="ar"/>
          <w14:textFill>
            <w14:solidFill>
              <w14:schemeClr w14:val="tx1"/>
            </w14:solidFill>
          </w14:textFill>
        </w:rPr>
        <w:t>1949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日后出生）。</w:t>
      </w:r>
    </w:p>
    <w:p w14:paraId="625E4BC5">
      <w:pPr>
        <w:widowControl/>
        <w:ind w:firstLine="643"/>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提名专家不能被提名为本年度省科学技术奖候选者。</w:t>
      </w:r>
    </w:p>
    <w:p w14:paraId="4F4BF02C">
      <w:pPr>
        <w:rPr>
          <w:rFonts w:hint="eastAsia" w:ascii="黑体" w:hAnsi="宋体" w:eastAsia="黑体" w:cs="黑体"/>
          <w:color w:val="000000" w:themeColor="text1"/>
          <w:kern w:val="0"/>
          <w:sz w:val="32"/>
          <w:szCs w:val="32"/>
          <w:lang w:bidi="ar"/>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br w:type="page"/>
      </w:r>
    </w:p>
    <w:p w14:paraId="568DC1C5">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四、提名要求</w:t>
      </w:r>
    </w:p>
    <w:p w14:paraId="174F906A">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者应当坚持以德为先，以学术水平为重要标准，秉持科学精神，弘扬良好作风学风，按照《四川省科学技术奖励办法》及其实施细则等规定对候选人政治、品行、水平、作风、廉洁等情况进行审核把关，有严重违纪违法行为者不得提名。</w:t>
      </w:r>
    </w:p>
    <w:p w14:paraId="6263F0EC">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在完成奖励提名之后，如候选人发生严重违纪违法行为或其他造成严重社会不良影响的行为，已不适宜奖励，候选人所在单位须及时报告提名者和科技厅科技人才处。</w:t>
      </w:r>
    </w:p>
    <w:p w14:paraId="2F1E7357">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（一）科学技术杰出贡献奖</w:t>
      </w:r>
    </w:p>
    <w:p w14:paraId="3E3B8FC5">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各提名单位提名人数原则上不超过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人，注重提名在一线工作，对在科学技术发展中取得国内外公认的重大成就，或对四川经济社会发展作出突出贡献的科技工作者。</w:t>
      </w:r>
    </w:p>
    <w:p w14:paraId="0E075721">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（二）杰出青年科学技术创新奖</w:t>
      </w:r>
    </w:p>
    <w:p w14:paraId="4AA6494E">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各提名单位提名人数原则上不超过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人，注重提名在一线工作，对学科发展或科技成果转化和产业化有重要推动作用的青年科技工作者。</w:t>
      </w:r>
    </w:p>
    <w:p w14:paraId="685717A4">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（三）国际科学技术合作奖</w:t>
      </w:r>
    </w:p>
    <w:p w14:paraId="7032D467">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各提名单位提名人数原则上不超过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人或</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个组织，注重提名对我省科学技术事业作出重要贡献的外国专家或者外国组织。</w:t>
      </w:r>
    </w:p>
    <w:p w14:paraId="690B6DD9">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（四）自然科学奖、技术发明奖、科学技术进步奖</w:t>
      </w:r>
    </w:p>
    <w:p w14:paraId="76821663">
      <w:pPr>
        <w:ind w:firstLine="641"/>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各提名单位应当坚持面向世界科技前沿、面向经济主战场、面向国家重大需求、面向人民生命健康，提名服务国家战略需求和四川高质量发展的原创性、引领性重大科技成果，特别是从</w:t>
      </w:r>
      <w:r>
        <w:rPr>
          <w:rFonts w:ascii="Times New Roman" w:hAnsi="Times New Roman" w:eastAsia="Noto Sans SC" w:cs="Times New Roman"/>
          <w:color w:val="000000" w:themeColor="text1"/>
          <w:kern w:val="0"/>
          <w:sz w:val="32"/>
          <w:szCs w:val="32"/>
          <w:lang w:bidi="ar"/>
          <w14:textFill>
            <w14:solidFill>
              <w14:schemeClr w14:val="tx1"/>
            </w14:solidFill>
          </w14:textFill>
        </w:rPr>
        <w:t>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到</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的重大科学发现和基础理论创新、事关发展全局和国家安全的关键核心技术突破、抢占科技和产业发展制高点的战略性、前沿性科技成果。</w:t>
      </w:r>
    </w:p>
    <w:p w14:paraId="77A1DE21">
      <w:pPr>
        <w:widowControl/>
        <w:ind w:firstLine="643"/>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涉及国家安全的</w:t>
      </w:r>
      <w:r>
        <w:rPr>
          <w:rFonts w:hint="eastAsia" w:ascii="仿宋_GB2312" w:hAnsi="Calibri" w:eastAsia="仿宋_GB2312" w:cs="仿宋_GB2312"/>
          <w:b/>
          <w:bCs/>
          <w:color w:val="000000" w:themeColor="text1"/>
          <w:kern w:val="0"/>
          <w:sz w:val="32"/>
          <w:szCs w:val="32"/>
          <w:lang w:bidi="ar"/>
          <w14:textFill>
            <w14:solidFill>
              <w14:schemeClr w14:val="tx1"/>
            </w14:solidFill>
          </w14:textFill>
        </w:rPr>
        <w:t>涉密</w:t>
      </w: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项目和国际科学技术合作奖由单位提名。</w:t>
      </w:r>
    </w:p>
    <w:p w14:paraId="17D39618">
      <w:pPr>
        <w:widowControl/>
        <w:ind w:firstLine="643"/>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技术发明奖、科学技术进步奖涉及国防安全的</w:t>
      </w:r>
      <w:r>
        <w:rPr>
          <w:rFonts w:hint="eastAsia" w:ascii="仿宋_GB2312" w:hAnsi="Calibri" w:eastAsia="仿宋_GB2312" w:cs="仿宋_GB2312"/>
          <w:b/>
          <w:bCs/>
          <w:color w:val="000000" w:themeColor="text1"/>
          <w:kern w:val="0"/>
          <w:sz w:val="32"/>
          <w:szCs w:val="32"/>
          <w:lang w:bidi="ar"/>
          <w14:textFill>
            <w14:solidFill>
              <w14:schemeClr w14:val="tx1"/>
            </w14:solidFill>
          </w14:textFill>
        </w:rPr>
        <w:t>涉密</w:t>
      </w: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项目，由省委军民融合办公室进行提名，涉及公共安全的</w:t>
      </w:r>
      <w:r>
        <w:rPr>
          <w:rFonts w:hint="eastAsia" w:ascii="仿宋_GB2312" w:hAnsi="Calibri" w:eastAsia="仿宋_GB2312" w:cs="仿宋_GB2312"/>
          <w:b/>
          <w:bCs/>
          <w:color w:val="000000" w:themeColor="text1"/>
          <w:kern w:val="0"/>
          <w:sz w:val="32"/>
          <w:szCs w:val="32"/>
          <w:lang w:bidi="ar"/>
          <w14:textFill>
            <w14:solidFill>
              <w14:schemeClr w14:val="tx1"/>
            </w14:solidFill>
          </w14:textFill>
        </w:rPr>
        <w:t>涉密</w:t>
      </w:r>
      <w:r>
        <w:rPr>
          <w:rFonts w:hint="eastAsia" w:ascii="仿宋_GB2312" w:hAnsi="Times New Roman" w:eastAsia="仿宋_GB2312" w:cs="仿宋_GB2312"/>
          <w:b/>
          <w:bCs/>
          <w:color w:val="000000" w:themeColor="text1"/>
          <w:kern w:val="0"/>
          <w:sz w:val="32"/>
          <w:szCs w:val="32"/>
          <w:lang w:bidi="ar"/>
          <w14:textFill>
            <w14:solidFill>
              <w14:schemeClr w14:val="tx1"/>
            </w14:solidFill>
          </w14:textFill>
        </w:rPr>
        <w:t>项目，由公安厅进行提名。</w:t>
      </w:r>
    </w:p>
    <w:p w14:paraId="2B31E52C">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（五）被提名人选和项目的基本条件</w:t>
      </w:r>
    </w:p>
    <w:p w14:paraId="34318348">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提名项目（人选）必须符合《四川省科学技术奖励办法》及其实施细则中的要求，同时还须满足以下条件：</w:t>
      </w:r>
    </w:p>
    <w:p w14:paraId="6A8620C5">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被提名为科学技术杰出贡献奖的人选，提名年度应在川工作且连续在川工作时间应不少于</w:t>
      </w: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p>
    <w:p w14:paraId="36A40793">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被提名为杰出青年科学技术创新奖的人选，提名年度应在川工作，年龄不超过</w:t>
      </w:r>
      <w:r>
        <w:rPr>
          <w:rFonts w:ascii="Times New Roman" w:hAnsi="Times New Roman" w:eastAsia="Noto Sans SC" w:cs="Times New Roman"/>
          <w:color w:val="000000" w:themeColor="text1"/>
          <w:kern w:val="0"/>
          <w:sz w:val="32"/>
          <w:szCs w:val="32"/>
          <w:lang w:bidi="ar"/>
          <w14:textFill>
            <w14:solidFill>
              <w14:schemeClr w14:val="tx1"/>
            </w14:solidFill>
          </w14:textFill>
        </w:rPr>
        <w:t>45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岁（</w:t>
      </w:r>
      <w:r>
        <w:rPr>
          <w:rFonts w:ascii="Times New Roman" w:hAnsi="Times New Roman" w:eastAsia="Noto Sans SC" w:cs="Times New Roman"/>
          <w:color w:val="000000" w:themeColor="text1"/>
          <w:kern w:val="0"/>
          <w:sz w:val="32"/>
          <w:szCs w:val="32"/>
          <w:lang w:bidi="ar"/>
          <w14:textFill>
            <w14:solidFill>
              <w14:schemeClr w14:val="tx1"/>
            </w14:solidFill>
          </w14:textFill>
        </w:rPr>
        <w:t>1979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日后出生）。</w:t>
      </w:r>
    </w:p>
    <w:p w14:paraId="4DC35C5B">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同一完成人同一年度只能被提名一次，同一成果同一年度只能被提名一种奖励类别。</w:t>
      </w:r>
    </w:p>
    <w:p w14:paraId="5ABAF39C">
      <w:pPr>
        <w:ind w:firstLine="641"/>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提名自然科学奖项目，其提供的代表性论文、专著，应于被提名前</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2022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hint="eastAsia" w:ascii="仿宋_GB2312" w:hAnsi="Calibri" w:eastAsia="仿宋_GB2312" w:cs="仿宋_GB2312"/>
          <w:color w:val="000000" w:themeColor="text1"/>
          <w:kern w:val="0"/>
          <w:sz w:val="32"/>
          <w:szCs w:val="32"/>
          <w:lang w:bidi="ar"/>
          <w14:textFill>
            <w14:solidFill>
              <w14:schemeClr w14:val="tx1"/>
            </w14:solidFill>
          </w14:textFill>
        </w:rPr>
        <w:t>前</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）公开发表；提名技术发明奖和科学技术进步奖项目，应当于被提名前</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2022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hint="eastAsia" w:ascii="仿宋_GB2312" w:hAnsi="Calibri" w:eastAsia="仿宋_GB2312" w:cs="仿宋_GB2312"/>
          <w:color w:val="000000" w:themeColor="text1"/>
          <w:kern w:val="0"/>
          <w:sz w:val="32"/>
          <w:szCs w:val="32"/>
          <w:lang w:bidi="ar"/>
          <w14:textFill>
            <w14:solidFill>
              <w14:schemeClr w14:val="tx1"/>
            </w14:solidFill>
          </w14:textFill>
        </w:rPr>
        <w:t>前</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）完成整体技术应用。</w:t>
      </w:r>
    </w:p>
    <w:p w14:paraId="51209EBB">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提名项目所列论文、专著知识产权应归国内单位所有。论文论著署名第一单位（标号为</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的单位）为国外单位的，不得作为省科学技术奖所有奖种评审的代表性论文专著。</w:t>
      </w:r>
    </w:p>
    <w:p w14:paraId="6B765DD3">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6.</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列入国家或省部级计划、基金支持的项目，应当在项目整体验收通过后提名。</w:t>
      </w:r>
    </w:p>
    <w:p w14:paraId="36FA4517">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7.</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提名项目所含技术内容（包括发现点、发明点、创新点及其专利和论文等支撑材料）应未在国家奖、省部级获奖项目中使用过。</w:t>
      </w:r>
    </w:p>
    <w:p w14:paraId="3A394A50">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8.</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提名技术发明奖项目的核心技术，须取得授权知识产权，前三完成人须是授权发明专利的发明人。</w:t>
      </w:r>
    </w:p>
    <w:p w14:paraId="42E4B96D">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涉及有国家法律法规要求行政许可的项目，必须完成批准手续，批准时间需满</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2022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日前），并提交相应的批准证明材料（如：新药、医疗器械、动植物新品种、农药、化肥、兽药、食品、通信设备、基因工程和技术产品、标准等批准证明）。</w:t>
      </w:r>
    </w:p>
    <w:p w14:paraId="5BAA66AF">
      <w:pPr>
        <w:pStyle w:val="7"/>
        <w:widowControl/>
        <w:spacing w:beforeAutospacing="0" w:afterAutospacing="0"/>
        <w:ind w:firstLine="640"/>
        <w:jc w:val="both"/>
        <w:rPr>
          <w:rFonts w:ascii="Calibri" w:hAnsi="Calibri" w:cs="Calibri"/>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10.</w:t>
      </w:r>
      <w:r>
        <w:rPr>
          <w:rFonts w:hint="eastAsia" w:ascii="仿宋_GB2312" w:hAnsi="Calibri" w:eastAsia="仿宋_GB2312" w:cs="仿宋_GB2312"/>
          <w:color w:val="000000" w:themeColor="text1"/>
          <w:sz w:val="32"/>
          <w:szCs w:val="32"/>
          <w14:textFill>
            <w14:solidFill>
              <w14:schemeClr w14:val="tx1"/>
            </w14:solidFill>
          </w14:textFill>
        </w:rPr>
        <w:t>提名科技进步奖成果转化专业（学科）组的项目必须由企业牵头实施</w:t>
      </w:r>
      <w:r>
        <w:rPr>
          <w:rFonts w:hint="eastAsia" w:ascii="仿宋_GB2312" w:hAnsi="Times New Roman" w:eastAsia="仿宋_GB2312" w:cs="仿宋_GB2312"/>
          <w:color w:val="000000" w:themeColor="text1"/>
          <w:sz w:val="32"/>
          <w:szCs w:val="32"/>
          <w14:textFill>
            <w14:solidFill>
              <w14:schemeClr w14:val="tx1"/>
            </w14:solidFill>
          </w14:textFill>
        </w:rPr>
        <w:t>。</w:t>
      </w:r>
    </w:p>
    <w:p w14:paraId="33322A7B">
      <w:pPr>
        <w:widowControl/>
        <w:ind w:firstLine="643"/>
        <w:jc w:val="left"/>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（六）不得提名的项目（人选）</w:t>
      </w:r>
    </w:p>
    <w:p w14:paraId="26948188">
      <w:pPr>
        <w:pStyle w:val="7"/>
        <w:widowControl/>
        <w:spacing w:beforeAutospacing="0" w:afterAutospacing="0"/>
        <w:ind w:firstLine="640"/>
        <w:jc w:val="both"/>
        <w:rPr>
          <w:rFonts w:ascii="Calibri" w:hAnsi="Calibri" w:cs="Calibri"/>
          <w:color w:val="000000" w:themeColor="text1"/>
          <w:sz w:val="32"/>
          <w:szCs w:val="32"/>
          <w14:textFill>
            <w14:solidFill>
              <w14:schemeClr w14:val="tx1"/>
            </w14:solidFill>
          </w14:textFill>
        </w:rPr>
      </w:pPr>
      <w:r>
        <w:rPr>
          <w:rFonts w:ascii="Times New Roman" w:hAnsi="Times New Roman" w:eastAsia="Noto Sans SC"/>
          <w:color w:val="000000" w:themeColor="text1"/>
          <w:sz w:val="32"/>
          <w:szCs w:val="32"/>
          <w14:textFill>
            <w14:solidFill>
              <w14:schemeClr w14:val="tx1"/>
            </w14:solidFill>
          </w14:textFill>
        </w:rPr>
        <w:t>1.</w:t>
      </w:r>
      <w:r>
        <w:rPr>
          <w:rFonts w:hint="eastAsia" w:ascii="仿宋_GB2312" w:hAnsi="Times New Roman" w:eastAsia="仿宋_GB2312" w:cs="仿宋_GB2312"/>
          <w:color w:val="000000" w:themeColor="text1"/>
          <w:sz w:val="32"/>
          <w:szCs w:val="32"/>
          <w14:textFill>
            <w14:solidFill>
              <w14:schemeClr w14:val="tx1"/>
            </w14:solidFill>
          </w14:textFill>
        </w:rPr>
        <w:t>已获得国家国际科学技术合作奖、中国政府友谊奖、天府友谊奖的，不再被提名省国际科学技术合作奖候选者。</w:t>
      </w:r>
    </w:p>
    <w:p w14:paraId="2A3A17DF">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已两次被提名省科学技术奖的项目，经评审未获奖的，如果没有新的重大创新成果和贡献，不再被提名。</w:t>
      </w:r>
    </w:p>
    <w:p w14:paraId="11B29B35">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科学技术杰出贡献奖、杰出青年科学技术创新奖、国际科学技术合作奖候选人经连续两年提名未获奖的，本年度不予提名。</w:t>
      </w:r>
    </w:p>
    <w:p w14:paraId="0BF907E4">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4.2022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2023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年度省科学技术奖获奖项目的完成人，不得作为项目第一完成人被提名为本年度自然科学奖、技术发明奖和科学技术进步奖的候选人。</w:t>
      </w:r>
    </w:p>
    <w:p w14:paraId="6BB05BD0">
      <w:pPr>
        <w:pStyle w:val="7"/>
        <w:widowControl/>
        <w:spacing w:beforeAutospacing="0" w:afterAutospacing="0"/>
        <w:ind w:firstLine="640"/>
        <w:jc w:val="both"/>
        <w:rPr>
          <w:rFonts w:ascii="Calibri" w:hAnsi="Calibri" w:cs="Calibri"/>
          <w:color w:val="000000" w:themeColor="text1"/>
          <w:sz w:val="32"/>
          <w:szCs w:val="32"/>
          <w14:textFill>
            <w14:solidFill>
              <w14:schemeClr w14:val="tx1"/>
            </w14:solidFill>
          </w14:textFill>
        </w:rPr>
      </w:pPr>
      <w:r>
        <w:rPr>
          <w:rFonts w:ascii="Times New Roman" w:hAnsi="Times New Roman" w:eastAsia="Noto Sans SC"/>
          <w:color w:val="000000" w:themeColor="text1"/>
          <w:sz w:val="32"/>
          <w:szCs w:val="32"/>
          <w14:textFill>
            <w14:solidFill>
              <w14:schemeClr w14:val="tx1"/>
            </w14:solidFill>
          </w14:textFill>
        </w:rPr>
        <w:t>5.</w:t>
      </w:r>
      <w:r>
        <w:rPr>
          <w:rFonts w:hint="eastAsia" w:ascii="仿宋_GB2312" w:hAnsi="Calibri" w:eastAsia="仿宋_GB2312" w:cs="仿宋_GB2312"/>
          <w:color w:val="000000" w:themeColor="text1"/>
          <w:sz w:val="32"/>
          <w:szCs w:val="32"/>
          <w14:textFill>
            <w14:solidFill>
              <w14:schemeClr w14:val="tx1"/>
            </w14:solidFill>
          </w14:textFill>
        </w:rPr>
        <w:t>其他</w:t>
      </w:r>
      <w:r>
        <w:rPr>
          <w:rFonts w:hint="eastAsia" w:ascii="仿宋_GB2312" w:hAnsi="Times New Roman" w:eastAsia="仿宋_GB2312" w:cs="仿宋_GB2312"/>
          <w:color w:val="000000" w:themeColor="text1"/>
          <w:sz w:val="32"/>
          <w:szCs w:val="32"/>
          <w14:textFill>
            <w14:solidFill>
              <w14:schemeClr w14:val="tx1"/>
            </w14:solidFill>
          </w14:textFill>
        </w:rPr>
        <w:t>《四川省科学技术奖励办法》及其实施细则明确规定的不得提名的情形。</w:t>
      </w:r>
    </w:p>
    <w:p w14:paraId="67BF3E49">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（五）提名公示</w:t>
      </w:r>
    </w:p>
    <w:p w14:paraId="2EC55CCC">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提名项目（人选）应进行提名前公示。提名单位应在本地区、本部门范围内进行公示。提名单位（专家）应责成被提名项目所有完成单位（人选所在单位）进行公示。公示内容需按照《</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年度四川省科学技术奖提名工作手册》的要求进行，公示时间不少于</w:t>
      </w: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个工作日。公示无异议或虽有异议但经核实处理后再次公示无异议的项目（人选）方可提名。提名项目（人选）公示情况随提名单位正式公函一并报送。</w:t>
      </w:r>
    </w:p>
    <w:p w14:paraId="6485D5A0">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四、提名书填报要求</w:t>
      </w:r>
    </w:p>
    <w:p w14:paraId="7D613AF4">
      <w:pPr>
        <w:widowControl/>
        <w:ind w:firstLine="640"/>
        <w:rPr>
          <w:rFonts w:ascii="Calibri" w:hAnsi="Calibri" w:cs="Calibri"/>
          <w:color w:val="000000" w:themeColor="text1"/>
          <w:sz w:val="32"/>
          <w:szCs w:val="32"/>
          <w14:textFill>
            <w14:solidFill>
              <w14:schemeClr w14:val="tx1"/>
            </w14:solidFill>
          </w14:textFill>
        </w:rPr>
      </w:pPr>
      <w:bookmarkStart w:id="0" w:name="OLE_LINK1"/>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提名书（含主件和附件）是四川省科学技术奖评审的主要依据，请登录四川省科学技术奖励综合业务管理系统，按照《</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年度四川省科学技术奖提名工作手册》要求，客观、如实、准确、完整填写提名材料。</w:t>
      </w:r>
    </w:p>
    <w:p w14:paraId="161FAF0F">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Calibri" w:eastAsia="仿宋_GB2312" w:cs="仿宋_GB2312"/>
          <w:color w:val="000000" w:themeColor="text1"/>
          <w:kern w:val="0"/>
          <w:sz w:val="32"/>
          <w:szCs w:val="32"/>
          <w:lang w:bidi="ar"/>
          <w14:textFill>
            <w14:solidFill>
              <w14:schemeClr w14:val="tx1"/>
            </w14:solidFill>
          </w14:textFill>
        </w:rPr>
        <w:t>涉密</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项目不得通过网络提名。</w:t>
      </w:r>
    </w:p>
    <w:p w14:paraId="588B950F">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提名自然科学奖、技术发明奖、科学技术进步奖需选择奖励等级志愿。当所选可接受的奖励等级高于拟授奖等级时，该项目不予授奖。</w:t>
      </w:r>
    </w:p>
    <w:p w14:paraId="7DE24CA4">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所有项目完成人和候选人都需提交纪检监察部门审核意见。有纪检监察部门的单位由同级纪检监察部门审核把关；无纪检监察部门的单位由单位审核把关。省管干部可由所在单位纪检监察部门审核，也可按干部管理权限交有关部门审核。审核意见格式范本见</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年度提名工作手册各奖种提名书。</w:t>
      </w:r>
    </w:p>
    <w:p w14:paraId="6DA33ADE">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所有候选人都需提交公安部门审核意见。请候选人自行到户籍所在地派出所或工作所在地派出所办理</w:t>
      </w:r>
      <w:r>
        <w:rPr>
          <w:rFonts w:hint="eastAsia" w:ascii="仿宋_GB2312" w:hAnsi="Calibri" w:eastAsia="仿宋_GB2312" w:cs="仿宋_GB2312"/>
          <w:color w:val="000000" w:themeColor="text1"/>
          <w:kern w:val="0"/>
          <w:sz w:val="32"/>
          <w:szCs w:val="32"/>
          <w:lang w:bidi="ar"/>
          <w14:textFill>
            <w14:solidFill>
              <w14:schemeClr w14:val="tx1"/>
            </w14:solidFill>
          </w14:textFill>
        </w:rPr>
        <w:t>“无犯罪记录证明”</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。个人查询或单位查询结果均有效，查询时段至少为</w:t>
      </w:r>
      <w:r>
        <w:rPr>
          <w:rFonts w:ascii="Times New Roman" w:hAnsi="Times New Roman" w:eastAsia="Noto Sans SC" w:cs="Times New Roman"/>
          <w:color w:val="000000" w:themeColor="text1"/>
          <w:kern w:val="0"/>
          <w:sz w:val="32"/>
          <w:szCs w:val="32"/>
          <w:lang w:bidi="ar"/>
          <w14:textFill>
            <w14:solidFill>
              <w14:schemeClr w14:val="tx1"/>
            </w14:solidFill>
          </w14:textFill>
        </w:rPr>
        <w:t>2022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日至</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p>
    <w:p w14:paraId="2A164A44">
      <w:pPr>
        <w:ind w:firstLine="641"/>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纪检监察部门和公安部门意见</w:t>
      </w:r>
      <w:r>
        <w:rPr>
          <w:rFonts w:hint="eastAsia" w:ascii="仿宋_GB2312" w:hAnsi="Calibri" w:eastAsia="仿宋_GB2312" w:cs="仿宋_GB2312"/>
          <w:color w:val="000000" w:themeColor="text1"/>
          <w:kern w:val="0"/>
          <w:sz w:val="32"/>
          <w:szCs w:val="32"/>
          <w:lang w:bidi="ar"/>
          <w14:textFill>
            <w14:solidFill>
              <w14:schemeClr w14:val="tx1"/>
            </w14:solidFill>
          </w14:textFill>
        </w:rPr>
        <w:t>由第一完成单位存档备查，第一完成单位根据</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纪检监察部门和公安部门意见</w:t>
      </w:r>
      <w:r>
        <w:rPr>
          <w:rFonts w:hint="eastAsia" w:ascii="仿宋_GB2312" w:hAnsi="Calibri" w:eastAsia="仿宋_GB2312" w:cs="仿宋_GB2312"/>
          <w:color w:val="000000" w:themeColor="text1"/>
          <w:kern w:val="0"/>
          <w:sz w:val="32"/>
          <w:szCs w:val="32"/>
          <w:lang w:bidi="ar"/>
          <w14:textFill>
            <w14:solidFill>
              <w14:schemeClr w14:val="tx1"/>
            </w14:solidFill>
          </w14:textFill>
        </w:rPr>
        <w:t>填写“四川省科学技术奖提名项目（人选）完成人情况确认书”，并</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按照要求上传。</w:t>
      </w:r>
    </w:p>
    <w:bookmarkEnd w:id="0"/>
    <w:p w14:paraId="342BD0AB">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五、提名材料及报送要求</w:t>
      </w:r>
    </w:p>
    <w:p w14:paraId="0FF11248">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各提名单位（专家）要严格对照《四川省科学技术奖提名材料形式审查不合格内容》，认真做好提名材料的形式审查工作。形式审查不合格的项目，将不予提交评审。</w:t>
      </w:r>
    </w:p>
    <w:p w14:paraId="2E5705AF">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（一）提名材料</w:t>
      </w:r>
    </w:p>
    <w:p w14:paraId="5B81E6E2">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提名函一式两份。内容应包括提名项目（人选）数量、提名项目（人选）公示情况及结果，并附提名项目（人选）汇总表（格式见附件</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）。提名单位或提名专家认为如有关专家参加评审可能影响评审公正性的，可以要求其回避，并在提名时同时提交《回避专家申请表》（格式见附件</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p>
    <w:p w14:paraId="218363EA">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纸质提名书主件和附件应一并装订成册。科学技术杰出贡献奖、杰出青年科学技术创新奖、国际科学技术合作奖、自然科学奖、技术发明奖、科学技术进步奖提名书</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份（原件</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份，复印件</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份），科学技术进步奖科普类项目需附</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套科普作品。</w:t>
      </w:r>
    </w:p>
    <w:p w14:paraId="489CCC7E">
      <w:pPr>
        <w:widowControl/>
        <w:ind w:firstLine="643"/>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b/>
          <w:bCs/>
          <w:color w:val="000000" w:themeColor="text1"/>
          <w:kern w:val="0"/>
          <w:sz w:val="32"/>
          <w:szCs w:val="32"/>
          <w:lang w:bidi="ar"/>
          <w14:textFill>
            <w14:solidFill>
              <w14:schemeClr w14:val="tx1"/>
            </w14:solidFill>
          </w14:textFill>
        </w:rPr>
        <w:t>（二）报送要求</w:t>
      </w:r>
    </w:p>
    <w:p w14:paraId="425DD85D">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．提名函应以公函的方式报送。提名公函要求：各市（州）应是人民政府或办公厅（室）行文，省政府相关部门、直属机构以及科技厅认定的有关部门（单位）等提名单位应是部门（单位）行文。</w:t>
      </w:r>
    </w:p>
    <w:p w14:paraId="2542326A">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．专家提名的项目（人选），提名书由责任专家直接寄送或委托工作人员报送。</w:t>
      </w:r>
    </w:p>
    <w:p w14:paraId="7794E30C">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六、提名时间要求</w:t>
      </w:r>
    </w:p>
    <w:p w14:paraId="25D73BB2">
      <w:pPr>
        <w:widowControl/>
        <w:ind w:firstLine="640"/>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color w:val="000000" w:themeColor="text1"/>
          <w:kern w:val="0"/>
          <w:sz w:val="32"/>
          <w:szCs w:val="32"/>
          <w:lang w:bidi="ar"/>
          <w14:textFill>
            <w14:solidFill>
              <w14:schemeClr w14:val="tx1"/>
            </w14:solidFill>
          </w14:textFill>
        </w:rPr>
        <w:t>（一）网络提名截止时间</w:t>
      </w:r>
    </w:p>
    <w:p w14:paraId="4D19EA90">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为保障网络提名工作的顺利进行，分时段确定各提名单位网络提名截止时间，具体如下：</w:t>
      </w:r>
    </w:p>
    <w:p w14:paraId="76487A6A">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提名系统开放时间：</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25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ascii="Times New Roman" w:hAnsi="Times New Roman" w:eastAsia="仿宋_GB2312" w:cs="Times New Roman"/>
          <w:color w:val="000000" w:themeColor="text1"/>
          <w:kern w:val="0"/>
          <w:sz w:val="32"/>
          <w:szCs w:val="32"/>
          <w:lang w:bidi="ar"/>
          <w14:textFill>
            <w14:solidFill>
              <w14:schemeClr w14:val="tx1"/>
            </w14:solidFill>
          </w14:textFill>
        </w:rPr>
        <w:t>18</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00</w:t>
      </w:r>
    </w:p>
    <w:p w14:paraId="558D281F">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各市（州），协会、学会，提名专家，</w:t>
      </w:r>
      <w:bookmarkStart w:id="1" w:name="OLE_LINK2"/>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ascii="Times New Roman" w:hAnsi="Times New Roman" w:eastAsia="Noto Sans SC" w:cs="Times New Roman"/>
          <w:color w:val="000000" w:themeColor="text1"/>
          <w:kern w:val="0"/>
          <w:sz w:val="32"/>
          <w:szCs w:val="32"/>
          <w:lang w:bidi="ar"/>
          <w14:textFill>
            <w14:solidFill>
              <w14:schemeClr w14:val="tx1"/>
            </w14:solidFill>
          </w14:textFill>
        </w:rPr>
        <w:t>12:00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截止</w:t>
      </w:r>
      <w:bookmarkEnd w:id="1"/>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p>
    <w:p w14:paraId="23491198">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省级部门、中央在川高校、中央在川研究院（所），央属企业，</w:t>
      </w:r>
      <w:r>
        <w:rPr>
          <w:rFonts w:hint="eastAsia" w:ascii="仿宋_GB2312" w:hAnsi="Calibri" w:eastAsia="仿宋_GB2312" w:cs="仿宋_GB2312"/>
          <w:color w:val="000000" w:themeColor="text1"/>
          <w:kern w:val="0"/>
          <w:sz w:val="32"/>
          <w:szCs w:val="32"/>
          <w:lang w:bidi="ar"/>
          <w14:textFill>
            <w14:solidFill>
              <w14:schemeClr w14:val="tx1"/>
            </w14:solidFill>
          </w14:textFill>
        </w:rPr>
        <w:t>省属企业，</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ascii="Times New Roman" w:hAnsi="Times New Roman" w:eastAsia="Noto Sans SC" w:cs="Times New Roman"/>
          <w:color w:val="000000" w:themeColor="text1"/>
          <w:kern w:val="0"/>
          <w:sz w:val="32"/>
          <w:szCs w:val="32"/>
          <w:lang w:bidi="ar"/>
          <w14:textFill>
            <w14:solidFill>
              <w14:schemeClr w14:val="tx1"/>
            </w14:solidFill>
          </w14:textFill>
        </w:rPr>
        <w:t>18:00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截止。</w:t>
      </w:r>
    </w:p>
    <w:p w14:paraId="4534B003">
      <w:pPr>
        <w:widowControl/>
        <w:ind w:firstLine="640"/>
        <w:rPr>
          <w:rFonts w:ascii="Calibri" w:hAnsi="Calibri" w:cs="Calibri"/>
          <w:color w:val="000000" w:themeColor="text1"/>
          <w:sz w:val="32"/>
          <w:szCs w:val="32"/>
          <w14:textFill>
            <w14:solidFill>
              <w14:schemeClr w14:val="tx1"/>
            </w14:solidFill>
          </w14:textFill>
        </w:rPr>
      </w:pPr>
      <w:r>
        <w:rPr>
          <w:rFonts w:ascii="楷体_GB2312" w:hAnsi="Calibri" w:eastAsia="楷体_GB2312" w:cs="楷体_GB2312"/>
          <w:color w:val="000000" w:themeColor="text1"/>
          <w:kern w:val="0"/>
          <w:sz w:val="32"/>
          <w:szCs w:val="32"/>
          <w:lang w:bidi="ar"/>
          <w14:textFill>
            <w14:solidFill>
              <w14:schemeClr w14:val="tx1"/>
            </w14:solidFill>
          </w14:textFill>
        </w:rPr>
        <w:t>（二）提名函及材料报送时间</w:t>
      </w:r>
    </w:p>
    <w:p w14:paraId="11513AFC">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Noto Sans SC" w:cs="Times New Roman"/>
          <w:color w:val="000000" w:themeColor="text1"/>
          <w:kern w:val="0"/>
          <w:sz w:val="32"/>
          <w:szCs w:val="32"/>
          <w:lang w:bidi="ar"/>
          <w14:textFill>
            <w14:solidFill>
              <w14:schemeClr w14:val="tx1"/>
            </w14:solidFill>
          </w14:textFill>
        </w:rPr>
        <w:t>16</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日前统一报送科技厅科技人才处。</w:t>
      </w:r>
    </w:p>
    <w:p w14:paraId="74508B7E">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邮寄地址：四川省成都市学道街</w:t>
      </w:r>
      <w:r>
        <w:rPr>
          <w:rFonts w:ascii="Times New Roman" w:hAnsi="Times New Roman" w:eastAsia="Noto Sans SC" w:cs="Times New Roman"/>
          <w:color w:val="000000" w:themeColor="text1"/>
          <w:kern w:val="0"/>
          <w:sz w:val="32"/>
          <w:szCs w:val="32"/>
          <w:lang w:bidi="ar"/>
          <w14:textFill>
            <w14:solidFill>
              <w14:schemeClr w14:val="tx1"/>
            </w14:solidFill>
          </w14:textFill>
        </w:rPr>
        <w:t>39</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号</w:t>
      </w:r>
    </w:p>
    <w:p w14:paraId="51045895">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邮政编码：</w:t>
      </w:r>
      <w:r>
        <w:rPr>
          <w:rFonts w:ascii="Times New Roman" w:hAnsi="Times New Roman" w:eastAsia="Noto Sans SC" w:cs="Times New Roman"/>
          <w:color w:val="000000" w:themeColor="text1"/>
          <w:kern w:val="0"/>
          <w:sz w:val="32"/>
          <w:szCs w:val="32"/>
          <w:lang w:bidi="ar"/>
          <w14:textFill>
            <w14:solidFill>
              <w14:schemeClr w14:val="tx1"/>
            </w14:solidFill>
          </w14:textFill>
        </w:rPr>
        <w:t>610016</w:t>
      </w:r>
    </w:p>
    <w:p w14:paraId="2EC7370E">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七、其他事项</w:t>
      </w:r>
    </w:p>
    <w:p w14:paraId="2B97CF48">
      <w:pPr>
        <w:ind w:firstLine="641"/>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四川省科学技术奖被提名项目单位须在省一体化政务服务平台进行注册，注册成功后再进入省科技奖励综合业务管理系统进行填报。具体注册程序及要求请见附件</w:t>
      </w:r>
      <w:r>
        <w:rPr>
          <w:rFonts w:ascii="Times New Roman" w:hAnsi="Times New Roman" w:eastAsia="Noto Sans SC" w:cs="Times New Roman"/>
          <w:color w:val="000000" w:themeColor="text1"/>
          <w:kern w:val="0"/>
          <w:sz w:val="32"/>
          <w:szCs w:val="32"/>
          <w:lang w:bidi="ar"/>
          <w14:textFill>
            <w14:solidFill>
              <w14:schemeClr w14:val="tx1"/>
            </w14:solidFill>
          </w14:textFill>
        </w:rPr>
        <w:t>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p>
    <w:p w14:paraId="79F7C3A9">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八、提名工作咨询电话</w:t>
      </w:r>
    </w:p>
    <w:p w14:paraId="311A27AD">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028-86723271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86663608</w:t>
      </w:r>
      <w:r>
        <w:rPr>
          <w:rFonts w:hint="eastAsia" w:ascii="仿宋_GB2312" w:hAnsi="Calibri"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86728520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86720583</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86710082</w:t>
      </w:r>
    </w:p>
    <w:p w14:paraId="5370E64C">
      <w:pPr>
        <w:widowControl/>
        <w:ind w:firstLine="640"/>
        <w:rPr>
          <w:rFonts w:ascii="Calibri" w:hAnsi="Calibri" w:cs="Calibri"/>
          <w:color w:val="000000" w:themeColor="text1"/>
          <w:sz w:val="32"/>
          <w:szCs w:val="32"/>
          <w14:textFill>
            <w14:solidFill>
              <w14:schemeClr w14:val="tx1"/>
            </w14:solidFill>
          </w14:textFill>
        </w:rPr>
      </w:pPr>
      <w:r>
        <w:rPr>
          <w:rFonts w:hint="eastAsia" w:ascii="黑体" w:hAnsi="宋体" w:eastAsia="黑体" w:cs="黑体"/>
          <w:color w:val="000000" w:themeColor="text1"/>
          <w:kern w:val="0"/>
          <w:sz w:val="32"/>
          <w:szCs w:val="32"/>
          <w:lang w:bidi="ar"/>
          <w14:textFill>
            <w14:solidFill>
              <w14:schemeClr w14:val="tx1"/>
            </w14:solidFill>
          </w14:textFill>
        </w:rPr>
        <w:t>九、技术服务热线</w:t>
      </w:r>
    </w:p>
    <w:p w14:paraId="2D3FD245">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用户注册和用户认证相关事项咨询</w:t>
      </w:r>
    </w:p>
    <w:p w14:paraId="047260AF">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028</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12345</w:t>
      </w:r>
    </w:p>
    <w:p w14:paraId="32F3D538">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省科技奖励综合业务管理平台技术热线</w:t>
      </w:r>
    </w:p>
    <w:p w14:paraId="4F478F4C">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028</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65238305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85249950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65238321</w:t>
      </w:r>
    </w:p>
    <w:p w14:paraId="07513B2B">
      <w:pPr>
        <w:widowControl/>
        <w:ind w:firstLine="64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 </w:t>
      </w:r>
    </w:p>
    <w:p w14:paraId="52578AF4">
      <w:pPr>
        <w:widowControl/>
        <w:ind w:firstLine="640"/>
        <w:rPr>
          <w:rFonts w:ascii="Calibri" w:hAnsi="Calibri" w:cs="Calibri"/>
          <w:color w:val="000000" w:themeColor="text1"/>
          <w:sz w:val="32"/>
          <w:szCs w:val="32"/>
          <w14:textFill>
            <w14:solidFill>
              <w14:schemeClr w14:val="tx1"/>
            </w14:solidFill>
          </w14:textFill>
        </w:rPr>
      </w:pPr>
      <w:r>
        <w:rPr>
          <w:rFonts w:hint="eastAsia" w:ascii="仿宋_GB2312" w:hAnsi="Times New Roman" w:eastAsia="仿宋_GB2312" w:cs="仿宋_GB2312"/>
          <w:color w:val="000000" w:themeColor="text1"/>
          <w:kern w:val="0"/>
          <w:sz w:val="32"/>
          <w:szCs w:val="32"/>
          <w:lang w:bidi="ar"/>
          <w14:textFill>
            <w14:solidFill>
              <w14:schemeClr w14:val="tx1"/>
            </w14:solidFill>
          </w14:textFill>
        </w:rPr>
        <w:t>附件：</w:t>
      </w:r>
      <w:r>
        <w:rPr>
          <w:rFonts w:ascii="Times New Roman" w:hAnsi="Times New Roman" w:eastAsia="Noto Sans SC" w:cs="Times New Roman"/>
          <w:color w:val="000000" w:themeColor="text1"/>
          <w:kern w:val="0"/>
          <w:sz w:val="32"/>
          <w:szCs w:val="32"/>
          <w:lang w:bidi="ar"/>
          <w14:textFill>
            <w14:solidFill>
              <w14:schemeClr w14:val="tx1"/>
            </w14:solidFill>
          </w14:textFill>
        </w:rPr>
        <w:t>1</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ascii="Times New Roman" w:hAnsi="Times New Roman" w:eastAsia="Noto Sans SC" w:cs="Times New Roman"/>
          <w:color w:val="000000" w:themeColor="text1"/>
          <w:spacing w:val="-11"/>
          <w:kern w:val="0"/>
          <w:sz w:val="32"/>
          <w:szCs w:val="32"/>
          <w:lang w:bidi="ar"/>
          <w14:textFill>
            <w14:solidFill>
              <w14:schemeClr w14:val="tx1"/>
            </w14:solidFill>
          </w14:textFill>
        </w:rPr>
        <w:t>024</w:t>
      </w:r>
      <w:r>
        <w:rPr>
          <w:rFonts w:hint="eastAsia" w:ascii="仿宋_GB2312" w:hAnsi="Times New Roman" w:eastAsia="仿宋_GB2312" w:cs="仿宋_GB2312"/>
          <w:color w:val="000000" w:themeColor="text1"/>
          <w:spacing w:val="-11"/>
          <w:kern w:val="0"/>
          <w:sz w:val="32"/>
          <w:szCs w:val="32"/>
          <w:lang w:bidi="ar"/>
          <w14:textFill>
            <w14:solidFill>
              <w14:schemeClr w14:val="tx1"/>
            </w14:solidFill>
          </w14:textFill>
        </w:rPr>
        <w:t>年度提名四川省科学技术奖项目（人选）汇总表</w:t>
      </w:r>
    </w:p>
    <w:p w14:paraId="037AA489">
      <w:pPr>
        <w:widowControl/>
        <w:ind w:firstLine="160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回避专家申请表</w:t>
      </w:r>
    </w:p>
    <w:p w14:paraId="1306D2D8">
      <w:pPr>
        <w:widowControl/>
        <w:ind w:firstLine="160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3</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提名单位和机构名单</w:t>
      </w:r>
    </w:p>
    <w:p w14:paraId="07D36F5B">
      <w:pPr>
        <w:widowControl/>
        <w:ind w:firstLine="160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4</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用户注册操作手册</w:t>
      </w:r>
    </w:p>
    <w:p w14:paraId="5563A317">
      <w:pPr>
        <w:widowControl/>
        <w:ind w:firstLine="1600"/>
        <w:rPr>
          <w:rFonts w:ascii="Calibri" w:hAnsi="Calibri" w:cs="Calibri"/>
          <w:color w:val="000000" w:themeColor="text1"/>
          <w:sz w:val="32"/>
          <w:szCs w:val="32"/>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5</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年度四川省科学技术奖提名工作手册</w:t>
      </w:r>
    </w:p>
    <w:p w14:paraId="6A748990">
      <w:pPr>
        <w:pStyle w:val="7"/>
        <w:widowControl/>
        <w:spacing w:beforeAutospacing="0" w:afterAutospacing="0"/>
        <w:jc w:val="both"/>
        <w:rPr>
          <w:rFonts w:ascii="Calibri" w:hAnsi="Calibri" w:cs="Calibri"/>
          <w:color w:val="000000" w:themeColor="text1"/>
          <w:sz w:val="32"/>
          <w:szCs w:val="32"/>
          <w14:textFill>
            <w14:solidFill>
              <w14:schemeClr w14:val="tx1"/>
            </w14:solidFill>
          </w14:textFill>
        </w:rPr>
      </w:pPr>
      <w:r>
        <w:rPr>
          <w:rFonts w:ascii="Calibri" w:hAnsi="Calibri" w:eastAsia="Noto Sans SC" w:cs="Calibri"/>
          <w:color w:val="000000" w:themeColor="text1"/>
          <w:sz w:val="32"/>
          <w:szCs w:val="32"/>
          <w14:textFill>
            <w14:solidFill>
              <w14:schemeClr w14:val="tx1"/>
            </w14:solidFill>
          </w14:textFill>
        </w:rPr>
        <w:t> </w:t>
      </w:r>
    </w:p>
    <w:p w14:paraId="13CE3BD9">
      <w:pPr>
        <w:widowControl/>
        <w:rPr>
          <w:rFonts w:ascii="Calibri" w:hAnsi="Calibri" w:cs="Calibri"/>
          <w:color w:val="000000" w:themeColor="text1"/>
          <w:sz w:val="32"/>
          <w:szCs w:val="32"/>
          <w14:textFill>
            <w14:solidFill>
              <w14:schemeClr w14:val="tx1"/>
            </w14:solidFill>
          </w14:textFill>
        </w:rPr>
      </w:pPr>
      <w:r>
        <w:rPr>
          <w:rFonts w:ascii="Calibri" w:hAnsi="Calibri" w:eastAsia="Noto Sans SC" w:cs="Calibri"/>
          <w:color w:val="000000" w:themeColor="text1"/>
          <w:kern w:val="0"/>
          <w:sz w:val="32"/>
          <w:szCs w:val="32"/>
          <w:lang w:bidi="ar"/>
          <w14:textFill>
            <w14:solidFill>
              <w14:schemeClr w14:val="tx1"/>
            </w14:solidFill>
          </w14:textFill>
        </w:rPr>
        <w:t> </w:t>
      </w:r>
    </w:p>
    <w:p w14:paraId="69DAA1D6">
      <w:pPr>
        <w:widowControl/>
        <w:ind w:firstLine="4800"/>
        <w:jc w:val="right"/>
        <w:rPr>
          <w:rFonts w:ascii="Calibri" w:hAnsi="Calibri" w:cs="Calibri"/>
          <w:color w:val="000000" w:themeColor="text1"/>
          <w:sz w:val="32"/>
          <w:szCs w:val="32"/>
          <w14:textFill>
            <w14:solidFill>
              <w14:schemeClr w14:val="tx1"/>
            </w14:solidFill>
          </w14:textFill>
        </w:rPr>
      </w:pPr>
      <w:r>
        <w:rPr>
          <w:rFonts w:hint="eastAsia" w:ascii="仿宋_GB2312" w:hAnsi="Calibri" w:eastAsia="仿宋_GB2312" w:cs="仿宋_GB2312"/>
          <w:color w:val="000000" w:themeColor="text1"/>
          <w:kern w:val="0"/>
          <w:sz w:val="32"/>
          <w:szCs w:val="32"/>
          <w:lang w:bidi="ar"/>
          <w14:textFill>
            <w14:solidFill>
              <w14:schemeClr w14:val="tx1"/>
            </w14:solidFill>
          </w14:textFill>
        </w:rPr>
        <w:t xml:space="preserve">四川省科学技术厅 </w:t>
      </w:r>
    </w:p>
    <w:p w14:paraId="5B55CABE">
      <w:pPr>
        <w:jc w:val="right"/>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Noto Sans SC" w:cs="Times New Roman"/>
          <w:color w:val="000000" w:themeColor="text1"/>
          <w:kern w:val="0"/>
          <w:sz w:val="32"/>
          <w:szCs w:val="32"/>
          <w:lang w:bidi="ar"/>
          <w14:textFill>
            <w14:solidFill>
              <w14:schemeClr w14:val="tx1"/>
            </w14:solidFill>
          </w14:textFill>
        </w:rPr>
        <w:t>2024</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年</w:t>
      </w:r>
      <w:r>
        <w:rPr>
          <w:rFonts w:ascii="Times New Roman" w:hAnsi="Times New Roman" w:eastAsia="Noto Sans SC" w:cs="Times New Roman"/>
          <w:color w:val="000000" w:themeColor="text1"/>
          <w:kern w:val="0"/>
          <w:sz w:val="32"/>
          <w:szCs w:val="32"/>
          <w:lang w:bidi="ar"/>
          <w14:textFill>
            <w14:solidFill>
              <w14:schemeClr w14:val="tx1"/>
            </w14:solidFill>
          </w14:textFill>
        </w:rPr>
        <w:t>10</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月</w:t>
      </w:r>
      <w:r>
        <w:rPr>
          <w:rFonts w:ascii="Times New Roman" w:hAnsi="Times New Roman" w:eastAsia="仿宋_GB2312" w:cs="Times New Roman"/>
          <w:color w:val="000000" w:themeColor="text1"/>
          <w:kern w:val="0"/>
          <w:sz w:val="32"/>
          <w:szCs w:val="32"/>
          <w:lang w:bidi="ar"/>
          <w14:textFill>
            <w14:solidFill>
              <w14:schemeClr w14:val="tx1"/>
            </w14:solidFill>
          </w14:textFill>
        </w:rPr>
        <w:t>25</w:t>
      </w:r>
      <w:r>
        <w:rPr>
          <w:rFonts w:hint="eastAsia" w:ascii="仿宋_GB2312" w:hAnsi="Times New Roman" w:eastAsia="仿宋_GB2312" w:cs="仿宋_GB2312"/>
          <w:color w:val="000000" w:themeColor="text1"/>
          <w:kern w:val="0"/>
          <w:sz w:val="32"/>
          <w:szCs w:val="32"/>
          <w:lang w:bidi="ar"/>
          <w14:textFill>
            <w14:solidFill>
              <w14:schemeClr w14:val="tx1"/>
            </w14:solidFill>
          </w14:textFill>
        </w:rPr>
        <w:t>日</w:t>
      </w:r>
      <w:r>
        <w:rPr>
          <w:rFonts w:hint="eastAsia" w:ascii="仿宋_GB2312" w:hAnsi="Calibri" w:eastAsia="仿宋_GB2312" w:cs="仿宋_GB2312"/>
          <w:color w:val="000000" w:themeColor="text1"/>
          <w:spacing w:val="-6"/>
          <w:kern w:val="0"/>
          <w:sz w:val="32"/>
          <w:szCs w:val="32"/>
          <w:lang w:bidi="ar"/>
          <w14:textFill>
            <w14:solidFill>
              <w14:schemeClr w14:val="tx1"/>
            </w14:solidFill>
          </w14:textFill>
        </w:rPr>
        <w:t xml:space="preserve"> </w:t>
      </w:r>
    </w:p>
    <w:p w14:paraId="51C75240">
      <w:pPr>
        <w:jc w:val="right"/>
        <w:rPr>
          <w:rFonts w:ascii="Times New Roman" w:hAnsi="Times New Roman" w:eastAsia="仿宋_GB2312" w:cs="Times New Roman"/>
          <w:color w:val="000000" w:themeColor="text1"/>
          <w:kern w:val="0"/>
          <w:sz w:val="32"/>
          <w:szCs w:val="32"/>
          <w:lang w:bidi="ar"/>
          <w14:textFill>
            <w14:solidFill>
              <w14:schemeClr w14:val="tx1"/>
            </w14:solidFill>
          </w14:textFill>
        </w:rPr>
      </w:pPr>
    </w:p>
    <w:p w14:paraId="4E4075BE">
      <w:pPr>
        <w:widowControl/>
        <w:jc w:val="left"/>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br w:type="page"/>
      </w:r>
    </w:p>
    <w:p w14:paraId="4323A611">
      <w:pPr>
        <w:spacing w:line="600" w:lineRule="exact"/>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附件1</w:t>
      </w:r>
    </w:p>
    <w:p w14:paraId="49A6B883">
      <w:pPr>
        <w:tabs>
          <w:tab w:val="left" w:pos="8789"/>
        </w:tabs>
        <w:spacing w:line="578" w:lineRule="exact"/>
        <w:jc w:val="center"/>
        <w:rPr>
          <w:rFonts w:eastAsia="方正小标宋_GBK"/>
          <w:color w:val="000000" w:themeColor="text1"/>
          <w:sz w:val="44"/>
          <w:szCs w:val="44"/>
          <w14:textFill>
            <w14:solidFill>
              <w14:schemeClr w14:val="tx1"/>
            </w14:solidFill>
          </w14:textFill>
        </w:rPr>
      </w:pPr>
    </w:p>
    <w:p w14:paraId="1C01475E">
      <w:pPr>
        <w:tabs>
          <w:tab w:val="left" w:pos="8789"/>
        </w:tabs>
        <w:spacing w:after="156" w:afterLines="50" w:line="578" w:lineRule="exact"/>
        <w:jc w:val="center"/>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2024年度</w:t>
      </w:r>
      <w:r>
        <w:rPr>
          <w:rFonts w:hint="eastAsia" w:ascii="方正小标宋简体" w:hAnsi="方正小标宋简体" w:eastAsia="方正小标宋简体" w:cs="方正小标宋简体"/>
          <w:color w:val="000000" w:themeColor="text1"/>
          <w:sz w:val="44"/>
          <w:szCs w:val="44"/>
          <w:u w:val="single"/>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提名四川省科学技术奖</w:t>
      </w:r>
    </w:p>
    <w:p w14:paraId="781BA973">
      <w:pPr>
        <w:tabs>
          <w:tab w:val="left" w:pos="8789"/>
        </w:tabs>
        <w:spacing w:after="156" w:afterLines="50" w:line="578" w:lineRule="exact"/>
        <w:jc w:val="center"/>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项目（人选）汇总表</w:t>
      </w:r>
    </w:p>
    <w:tbl>
      <w:tblPr>
        <w:tblStyle w:val="8"/>
        <w:tblW w:w="49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4565"/>
        <w:gridCol w:w="2137"/>
        <w:gridCol w:w="1284"/>
      </w:tblGrid>
      <w:tr w14:paraId="440D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840ABD8">
            <w:pPr>
              <w:spacing w:line="560" w:lineRule="exac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提名</w:t>
            </w:r>
            <w:r>
              <w:rPr>
                <w:rFonts w:eastAsia="仿宋_GB2312"/>
                <w:color w:val="000000" w:themeColor="text1"/>
                <w:sz w:val="32"/>
                <w:szCs w:val="32"/>
                <w14:textFill>
                  <w14:solidFill>
                    <w14:schemeClr w14:val="tx1"/>
                  </w14:solidFill>
                </w14:textFill>
              </w:rPr>
              <w:t>单位（盖章）：</w:t>
            </w:r>
          </w:p>
        </w:tc>
      </w:tr>
      <w:tr w14:paraId="2A16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4F933B18">
            <w:pPr>
              <w:spacing w:line="56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序号</w:t>
            </w:r>
          </w:p>
        </w:tc>
        <w:tc>
          <w:tcPr>
            <w:tcW w:w="2550" w:type="pct"/>
            <w:tcBorders>
              <w:top w:val="single" w:color="auto" w:sz="4" w:space="0"/>
              <w:left w:val="single" w:color="auto" w:sz="4" w:space="0"/>
              <w:bottom w:val="single" w:color="auto" w:sz="4" w:space="0"/>
              <w:right w:val="single" w:color="auto" w:sz="4" w:space="0"/>
            </w:tcBorders>
            <w:vAlign w:val="center"/>
          </w:tcPr>
          <w:p w14:paraId="5E4EE5E7">
            <w:pPr>
              <w:spacing w:line="56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项目名称（人选姓名）</w:t>
            </w:r>
          </w:p>
        </w:tc>
        <w:tc>
          <w:tcPr>
            <w:tcW w:w="1194" w:type="pct"/>
            <w:tcBorders>
              <w:top w:val="single" w:color="auto" w:sz="4" w:space="0"/>
              <w:left w:val="single" w:color="auto" w:sz="4" w:space="0"/>
              <w:bottom w:val="single" w:color="auto" w:sz="4" w:space="0"/>
              <w:right w:val="single" w:color="auto" w:sz="4" w:space="0"/>
            </w:tcBorders>
            <w:vAlign w:val="center"/>
          </w:tcPr>
          <w:p w14:paraId="13D6B520">
            <w:pPr>
              <w:spacing w:line="560" w:lineRule="exact"/>
              <w:jc w:val="center"/>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提名</w:t>
            </w:r>
            <w:r>
              <w:rPr>
                <w:rFonts w:eastAsia="仿宋_GB2312"/>
                <w:color w:val="000000" w:themeColor="text1"/>
                <w:sz w:val="32"/>
                <w:szCs w:val="32"/>
                <w14:textFill>
                  <w14:solidFill>
                    <w14:schemeClr w14:val="tx1"/>
                  </w14:solidFill>
                </w14:textFill>
              </w:rPr>
              <w:t>奖种</w:t>
            </w:r>
          </w:p>
        </w:tc>
        <w:tc>
          <w:tcPr>
            <w:tcW w:w="714" w:type="pct"/>
            <w:tcBorders>
              <w:top w:val="single" w:color="auto" w:sz="4" w:space="0"/>
              <w:left w:val="single" w:color="auto" w:sz="4" w:space="0"/>
              <w:bottom w:val="single" w:color="auto" w:sz="4" w:space="0"/>
              <w:right w:val="single" w:color="auto" w:sz="4" w:space="0"/>
            </w:tcBorders>
            <w:vAlign w:val="center"/>
          </w:tcPr>
          <w:p w14:paraId="2EEF36D0">
            <w:pPr>
              <w:spacing w:line="56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备注</w:t>
            </w:r>
          </w:p>
        </w:tc>
      </w:tr>
      <w:tr w14:paraId="0CBA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3D4BC8D9">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1F64F2F8">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7EC9C82A">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1E10FCAE">
            <w:pPr>
              <w:spacing w:line="560" w:lineRule="exact"/>
              <w:jc w:val="center"/>
              <w:rPr>
                <w:rFonts w:eastAsia="仿宋_GB2312"/>
                <w:color w:val="000000" w:themeColor="text1"/>
                <w:sz w:val="32"/>
                <w:szCs w:val="32"/>
                <w14:textFill>
                  <w14:solidFill>
                    <w14:schemeClr w14:val="tx1"/>
                  </w14:solidFill>
                </w14:textFill>
              </w:rPr>
            </w:pPr>
          </w:p>
        </w:tc>
      </w:tr>
      <w:tr w14:paraId="0891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63C0B312">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72A2B5D8">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6727066B">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5F2E26BD">
            <w:pPr>
              <w:spacing w:line="560" w:lineRule="exact"/>
              <w:jc w:val="center"/>
              <w:rPr>
                <w:rFonts w:eastAsia="仿宋_GB2312"/>
                <w:color w:val="000000" w:themeColor="text1"/>
                <w:sz w:val="32"/>
                <w:szCs w:val="32"/>
                <w14:textFill>
                  <w14:solidFill>
                    <w14:schemeClr w14:val="tx1"/>
                  </w14:solidFill>
                </w14:textFill>
              </w:rPr>
            </w:pPr>
          </w:p>
        </w:tc>
      </w:tr>
      <w:tr w14:paraId="7549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3DFDA5A1">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46C7DAC5">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7C2083C4">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066BEBFF">
            <w:pPr>
              <w:spacing w:line="560" w:lineRule="exact"/>
              <w:jc w:val="center"/>
              <w:rPr>
                <w:rFonts w:eastAsia="仿宋_GB2312"/>
                <w:color w:val="000000" w:themeColor="text1"/>
                <w:sz w:val="32"/>
                <w:szCs w:val="32"/>
                <w14:textFill>
                  <w14:solidFill>
                    <w14:schemeClr w14:val="tx1"/>
                  </w14:solidFill>
                </w14:textFill>
              </w:rPr>
            </w:pPr>
          </w:p>
        </w:tc>
      </w:tr>
      <w:tr w14:paraId="145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14E04DBB">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7C12BF72">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76476150">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2B6D1F4B">
            <w:pPr>
              <w:spacing w:line="560" w:lineRule="exact"/>
              <w:jc w:val="center"/>
              <w:rPr>
                <w:rFonts w:eastAsia="仿宋_GB2312"/>
                <w:color w:val="000000" w:themeColor="text1"/>
                <w:sz w:val="32"/>
                <w:szCs w:val="32"/>
                <w14:textFill>
                  <w14:solidFill>
                    <w14:schemeClr w14:val="tx1"/>
                  </w14:solidFill>
                </w14:textFill>
              </w:rPr>
            </w:pPr>
          </w:p>
        </w:tc>
      </w:tr>
      <w:tr w14:paraId="5161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4C55777F">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05D61FD4">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028FAF95">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5D4F9702">
            <w:pPr>
              <w:spacing w:line="560" w:lineRule="exact"/>
              <w:jc w:val="center"/>
              <w:rPr>
                <w:rFonts w:eastAsia="仿宋_GB2312"/>
                <w:color w:val="000000" w:themeColor="text1"/>
                <w:sz w:val="32"/>
                <w:szCs w:val="32"/>
                <w14:textFill>
                  <w14:solidFill>
                    <w14:schemeClr w14:val="tx1"/>
                  </w14:solidFill>
                </w14:textFill>
              </w:rPr>
            </w:pPr>
          </w:p>
        </w:tc>
      </w:tr>
      <w:tr w14:paraId="2BBC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11EA9BD4">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7068C730">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7EAE7EF6">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07498D3F">
            <w:pPr>
              <w:spacing w:line="560" w:lineRule="exact"/>
              <w:jc w:val="center"/>
              <w:rPr>
                <w:rFonts w:eastAsia="仿宋_GB2312"/>
                <w:color w:val="000000" w:themeColor="text1"/>
                <w:sz w:val="32"/>
                <w:szCs w:val="32"/>
                <w14:textFill>
                  <w14:solidFill>
                    <w14:schemeClr w14:val="tx1"/>
                  </w14:solidFill>
                </w14:textFill>
              </w:rPr>
            </w:pPr>
          </w:p>
        </w:tc>
      </w:tr>
      <w:tr w14:paraId="7A49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726260F5">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432E8AEB">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6B943335">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2F7D704A">
            <w:pPr>
              <w:spacing w:line="560" w:lineRule="exact"/>
              <w:jc w:val="center"/>
              <w:rPr>
                <w:rFonts w:eastAsia="仿宋_GB2312"/>
                <w:color w:val="000000" w:themeColor="text1"/>
                <w:sz w:val="32"/>
                <w:szCs w:val="32"/>
                <w14:textFill>
                  <w14:solidFill>
                    <w14:schemeClr w14:val="tx1"/>
                  </w14:solidFill>
                </w14:textFill>
              </w:rPr>
            </w:pPr>
          </w:p>
        </w:tc>
      </w:tr>
      <w:tr w14:paraId="182C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75966BA7">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26ACD7C9">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4FDF0612">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39F8C864">
            <w:pPr>
              <w:spacing w:line="560" w:lineRule="exact"/>
              <w:jc w:val="center"/>
              <w:rPr>
                <w:rFonts w:eastAsia="仿宋_GB2312"/>
                <w:color w:val="000000" w:themeColor="text1"/>
                <w:sz w:val="32"/>
                <w:szCs w:val="32"/>
                <w14:textFill>
                  <w14:solidFill>
                    <w14:schemeClr w14:val="tx1"/>
                  </w14:solidFill>
                </w14:textFill>
              </w:rPr>
            </w:pPr>
          </w:p>
        </w:tc>
      </w:tr>
      <w:tr w14:paraId="635F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7C86D996">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5C563D69">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737ED0F7">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63237C2E">
            <w:pPr>
              <w:spacing w:line="560" w:lineRule="exact"/>
              <w:jc w:val="center"/>
              <w:rPr>
                <w:rFonts w:eastAsia="仿宋_GB2312"/>
                <w:color w:val="000000" w:themeColor="text1"/>
                <w:sz w:val="32"/>
                <w:szCs w:val="32"/>
                <w14:textFill>
                  <w14:solidFill>
                    <w14:schemeClr w14:val="tx1"/>
                  </w14:solidFill>
                </w14:textFill>
              </w:rPr>
            </w:pPr>
          </w:p>
        </w:tc>
      </w:tr>
      <w:tr w14:paraId="173E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rPr>
        <w:tc>
          <w:tcPr>
            <w:tcW w:w="539" w:type="pct"/>
            <w:tcBorders>
              <w:top w:val="single" w:color="auto" w:sz="4" w:space="0"/>
              <w:left w:val="single" w:color="auto" w:sz="4" w:space="0"/>
              <w:bottom w:val="single" w:color="auto" w:sz="4" w:space="0"/>
              <w:right w:val="single" w:color="auto" w:sz="4" w:space="0"/>
            </w:tcBorders>
            <w:vAlign w:val="center"/>
          </w:tcPr>
          <w:p w14:paraId="6E1B072F">
            <w:pPr>
              <w:spacing w:line="560" w:lineRule="exact"/>
              <w:jc w:val="center"/>
              <w:rPr>
                <w:rFonts w:eastAsia="仿宋_GB2312"/>
                <w:color w:val="000000" w:themeColor="text1"/>
                <w:sz w:val="32"/>
                <w:szCs w:val="32"/>
                <w14:textFill>
                  <w14:solidFill>
                    <w14:schemeClr w14:val="tx1"/>
                  </w14:solidFill>
                </w14:textFill>
              </w:rPr>
            </w:pPr>
          </w:p>
        </w:tc>
        <w:tc>
          <w:tcPr>
            <w:tcW w:w="2550" w:type="pct"/>
            <w:tcBorders>
              <w:top w:val="single" w:color="auto" w:sz="4" w:space="0"/>
              <w:left w:val="single" w:color="auto" w:sz="4" w:space="0"/>
              <w:bottom w:val="single" w:color="auto" w:sz="4" w:space="0"/>
              <w:right w:val="single" w:color="auto" w:sz="4" w:space="0"/>
            </w:tcBorders>
            <w:vAlign w:val="center"/>
          </w:tcPr>
          <w:p w14:paraId="1DEF86FE">
            <w:pPr>
              <w:spacing w:line="560" w:lineRule="exact"/>
              <w:jc w:val="center"/>
              <w:rPr>
                <w:rFonts w:eastAsia="仿宋_GB2312"/>
                <w:color w:val="000000" w:themeColor="text1"/>
                <w:sz w:val="32"/>
                <w:szCs w:val="32"/>
                <w14:textFill>
                  <w14:solidFill>
                    <w14:schemeClr w14:val="tx1"/>
                  </w14:solidFill>
                </w14:textFill>
              </w:rPr>
            </w:pPr>
          </w:p>
        </w:tc>
        <w:tc>
          <w:tcPr>
            <w:tcW w:w="1194" w:type="pct"/>
            <w:tcBorders>
              <w:top w:val="single" w:color="auto" w:sz="4" w:space="0"/>
              <w:left w:val="single" w:color="auto" w:sz="4" w:space="0"/>
              <w:bottom w:val="single" w:color="auto" w:sz="4" w:space="0"/>
              <w:right w:val="single" w:color="auto" w:sz="4" w:space="0"/>
            </w:tcBorders>
            <w:vAlign w:val="center"/>
          </w:tcPr>
          <w:p w14:paraId="091A8DED">
            <w:pPr>
              <w:spacing w:line="560" w:lineRule="exact"/>
              <w:jc w:val="center"/>
              <w:rPr>
                <w:rFonts w:eastAsia="仿宋_GB2312"/>
                <w:color w:val="000000" w:themeColor="text1"/>
                <w:sz w:val="32"/>
                <w:szCs w:val="32"/>
                <w14:textFill>
                  <w14:solidFill>
                    <w14:schemeClr w14:val="tx1"/>
                  </w14:solidFill>
                </w14:textFill>
              </w:rPr>
            </w:pPr>
          </w:p>
        </w:tc>
        <w:tc>
          <w:tcPr>
            <w:tcW w:w="714" w:type="pct"/>
            <w:tcBorders>
              <w:top w:val="single" w:color="auto" w:sz="4" w:space="0"/>
              <w:left w:val="single" w:color="auto" w:sz="4" w:space="0"/>
              <w:bottom w:val="single" w:color="auto" w:sz="4" w:space="0"/>
              <w:right w:val="single" w:color="auto" w:sz="4" w:space="0"/>
            </w:tcBorders>
            <w:vAlign w:val="center"/>
          </w:tcPr>
          <w:p w14:paraId="5AC373CB">
            <w:pPr>
              <w:spacing w:line="560" w:lineRule="exact"/>
              <w:jc w:val="center"/>
              <w:rPr>
                <w:rFonts w:eastAsia="仿宋_GB2312"/>
                <w:color w:val="000000" w:themeColor="text1"/>
                <w:sz w:val="32"/>
                <w:szCs w:val="32"/>
                <w14:textFill>
                  <w14:solidFill>
                    <w14:schemeClr w14:val="tx1"/>
                  </w14:solidFill>
                </w14:textFill>
              </w:rPr>
            </w:pPr>
          </w:p>
        </w:tc>
      </w:tr>
    </w:tbl>
    <w:p w14:paraId="45E54097">
      <w:pPr>
        <w:tabs>
          <w:tab w:val="left" w:pos="8112"/>
        </w:tabs>
        <w:spacing w:line="560" w:lineRule="exact"/>
        <w:ind w:right="30" w:firstLine="160" w:firstLineChars="5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附件2</w:t>
      </w:r>
    </w:p>
    <w:p w14:paraId="06EBBF32">
      <w:pPr>
        <w:tabs>
          <w:tab w:val="left" w:pos="8789"/>
        </w:tabs>
        <w:spacing w:after="156" w:afterLines="50" w:line="578" w:lineRule="exact"/>
        <w:jc w:val="center"/>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回避专家申请表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451"/>
        <w:gridCol w:w="1959"/>
        <w:gridCol w:w="1901"/>
        <w:gridCol w:w="1020"/>
        <w:gridCol w:w="3160"/>
      </w:tblGrid>
      <w:tr w14:paraId="213B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4" w:type="pct"/>
            <w:gridSpan w:val="3"/>
            <w:vAlign w:val="center"/>
          </w:tcPr>
          <w:p w14:paraId="1D128894">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项目名称</w:t>
            </w:r>
          </w:p>
        </w:tc>
        <w:tc>
          <w:tcPr>
            <w:tcW w:w="3356" w:type="pct"/>
            <w:gridSpan w:val="3"/>
            <w:vAlign w:val="center"/>
          </w:tcPr>
          <w:p w14:paraId="6B0E5E12">
            <w:pPr>
              <w:spacing w:line="500" w:lineRule="exact"/>
              <w:jc w:val="center"/>
              <w:rPr>
                <w:rFonts w:eastAsia="仿宋_GB2312"/>
                <w:color w:val="000000" w:themeColor="text1"/>
                <w:sz w:val="32"/>
                <w:szCs w:val="32"/>
                <w14:textFill>
                  <w14:solidFill>
                    <w14:schemeClr w14:val="tx1"/>
                  </w14:solidFill>
                </w14:textFill>
              </w:rPr>
            </w:pPr>
          </w:p>
        </w:tc>
      </w:tr>
      <w:tr w14:paraId="6581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314" w:type="pct"/>
            <w:vMerge w:val="restart"/>
            <w:vAlign w:val="center"/>
          </w:tcPr>
          <w:p w14:paraId="0BD7D229">
            <w:pPr>
              <w:spacing w:line="500" w:lineRule="exact"/>
              <w:jc w:val="center"/>
              <w:rPr>
                <w:rFonts w:hint="eastAsia"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申</w:t>
            </w:r>
          </w:p>
          <w:p w14:paraId="71A6322D">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请</w:t>
            </w:r>
          </w:p>
          <w:p w14:paraId="0FDFECE6">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回</w:t>
            </w:r>
          </w:p>
          <w:p w14:paraId="1C8FF379">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避</w:t>
            </w:r>
          </w:p>
          <w:p w14:paraId="597C1A1C">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专</w:t>
            </w:r>
          </w:p>
          <w:p w14:paraId="09028402">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家</w:t>
            </w:r>
          </w:p>
        </w:tc>
        <w:tc>
          <w:tcPr>
            <w:tcW w:w="249" w:type="pct"/>
            <w:vMerge w:val="restart"/>
            <w:vAlign w:val="center"/>
          </w:tcPr>
          <w:p w14:paraId="408F006A">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w:t>
            </w:r>
          </w:p>
        </w:tc>
        <w:tc>
          <w:tcPr>
            <w:tcW w:w="1081" w:type="pct"/>
            <w:vAlign w:val="center"/>
          </w:tcPr>
          <w:p w14:paraId="490FCB7B">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姓   名</w:t>
            </w:r>
          </w:p>
        </w:tc>
        <w:tc>
          <w:tcPr>
            <w:tcW w:w="1049" w:type="pct"/>
            <w:vAlign w:val="center"/>
          </w:tcPr>
          <w:p w14:paraId="7DFE19E0">
            <w:pPr>
              <w:spacing w:line="500" w:lineRule="exact"/>
              <w:jc w:val="center"/>
              <w:rPr>
                <w:rFonts w:eastAsia="仿宋_GB2312"/>
                <w:color w:val="000000" w:themeColor="text1"/>
                <w:sz w:val="32"/>
                <w:szCs w:val="32"/>
                <w14:textFill>
                  <w14:solidFill>
                    <w14:schemeClr w14:val="tx1"/>
                  </w14:solidFill>
                </w14:textFill>
              </w:rPr>
            </w:pPr>
          </w:p>
        </w:tc>
        <w:tc>
          <w:tcPr>
            <w:tcW w:w="563" w:type="pct"/>
            <w:vAlign w:val="center"/>
          </w:tcPr>
          <w:p w14:paraId="1833B1AB">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专业</w:t>
            </w:r>
          </w:p>
        </w:tc>
        <w:tc>
          <w:tcPr>
            <w:tcW w:w="1744" w:type="pct"/>
            <w:vAlign w:val="center"/>
          </w:tcPr>
          <w:p w14:paraId="1233BA60">
            <w:pPr>
              <w:spacing w:line="500" w:lineRule="exact"/>
              <w:jc w:val="center"/>
              <w:rPr>
                <w:rFonts w:eastAsia="仿宋_GB2312"/>
                <w:color w:val="000000" w:themeColor="text1"/>
                <w:sz w:val="32"/>
                <w:szCs w:val="32"/>
                <w14:textFill>
                  <w14:solidFill>
                    <w14:schemeClr w14:val="tx1"/>
                  </w14:solidFill>
                </w14:textFill>
              </w:rPr>
            </w:pPr>
          </w:p>
        </w:tc>
      </w:tr>
      <w:tr w14:paraId="24BC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14" w:type="pct"/>
            <w:vMerge w:val="continue"/>
            <w:vAlign w:val="center"/>
          </w:tcPr>
          <w:p w14:paraId="3BB3E464">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7F4DAC56">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p>
        </w:tc>
        <w:tc>
          <w:tcPr>
            <w:tcW w:w="1081" w:type="pct"/>
            <w:vAlign w:val="center"/>
          </w:tcPr>
          <w:p w14:paraId="61D9618A">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工作单位</w:t>
            </w:r>
          </w:p>
        </w:tc>
        <w:tc>
          <w:tcPr>
            <w:tcW w:w="3356" w:type="pct"/>
            <w:gridSpan w:val="3"/>
            <w:vAlign w:val="center"/>
          </w:tcPr>
          <w:p w14:paraId="6B7FE68A">
            <w:pPr>
              <w:spacing w:line="500" w:lineRule="exact"/>
              <w:jc w:val="center"/>
              <w:rPr>
                <w:rFonts w:eastAsia="仿宋_GB2312"/>
                <w:color w:val="000000" w:themeColor="text1"/>
                <w:sz w:val="32"/>
                <w:szCs w:val="32"/>
                <w14:textFill>
                  <w14:solidFill>
                    <w14:schemeClr w14:val="tx1"/>
                  </w14:solidFill>
                </w14:textFill>
              </w:rPr>
            </w:pPr>
          </w:p>
        </w:tc>
      </w:tr>
      <w:tr w14:paraId="2104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314" w:type="pct"/>
            <w:vMerge w:val="continue"/>
            <w:vAlign w:val="center"/>
          </w:tcPr>
          <w:p w14:paraId="5F925865">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0C55F74E">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p>
        </w:tc>
        <w:tc>
          <w:tcPr>
            <w:tcW w:w="1081" w:type="pct"/>
            <w:vAlign w:val="center"/>
          </w:tcPr>
          <w:p w14:paraId="58FD324B">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回避理由</w:t>
            </w:r>
          </w:p>
        </w:tc>
        <w:tc>
          <w:tcPr>
            <w:tcW w:w="3356" w:type="pct"/>
            <w:gridSpan w:val="3"/>
            <w:vAlign w:val="center"/>
          </w:tcPr>
          <w:p w14:paraId="047F419D">
            <w:pPr>
              <w:spacing w:line="500" w:lineRule="exact"/>
              <w:jc w:val="center"/>
              <w:rPr>
                <w:rFonts w:eastAsia="仿宋_GB2312"/>
                <w:color w:val="000000" w:themeColor="text1"/>
                <w:sz w:val="32"/>
                <w:szCs w:val="32"/>
                <w14:textFill>
                  <w14:solidFill>
                    <w14:schemeClr w14:val="tx1"/>
                  </w14:solidFill>
                </w14:textFill>
              </w:rPr>
            </w:pPr>
          </w:p>
        </w:tc>
      </w:tr>
      <w:tr w14:paraId="0473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314" w:type="pct"/>
            <w:vMerge w:val="continue"/>
            <w:vAlign w:val="center"/>
          </w:tcPr>
          <w:p w14:paraId="5222CA62">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restart"/>
            <w:vAlign w:val="center"/>
          </w:tcPr>
          <w:p w14:paraId="1BBAE274">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w:t>
            </w:r>
          </w:p>
        </w:tc>
        <w:tc>
          <w:tcPr>
            <w:tcW w:w="1081" w:type="pct"/>
            <w:vAlign w:val="center"/>
          </w:tcPr>
          <w:p w14:paraId="6B8E2F3D">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姓   名</w:t>
            </w:r>
          </w:p>
        </w:tc>
        <w:tc>
          <w:tcPr>
            <w:tcW w:w="1049" w:type="pct"/>
            <w:vAlign w:val="center"/>
          </w:tcPr>
          <w:p w14:paraId="48B732B7">
            <w:pPr>
              <w:spacing w:line="500" w:lineRule="exact"/>
              <w:jc w:val="center"/>
              <w:rPr>
                <w:rFonts w:eastAsia="仿宋_GB2312"/>
                <w:color w:val="000000" w:themeColor="text1"/>
                <w:sz w:val="32"/>
                <w:szCs w:val="32"/>
                <w14:textFill>
                  <w14:solidFill>
                    <w14:schemeClr w14:val="tx1"/>
                  </w14:solidFill>
                </w14:textFill>
              </w:rPr>
            </w:pPr>
          </w:p>
        </w:tc>
        <w:tc>
          <w:tcPr>
            <w:tcW w:w="563" w:type="pct"/>
            <w:vAlign w:val="center"/>
          </w:tcPr>
          <w:p w14:paraId="3721848D">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专业</w:t>
            </w:r>
          </w:p>
        </w:tc>
        <w:tc>
          <w:tcPr>
            <w:tcW w:w="1744" w:type="pct"/>
            <w:vAlign w:val="center"/>
          </w:tcPr>
          <w:p w14:paraId="1BE6E88C">
            <w:pPr>
              <w:spacing w:line="500" w:lineRule="exact"/>
              <w:jc w:val="center"/>
              <w:rPr>
                <w:rFonts w:eastAsia="仿宋_GB2312"/>
                <w:color w:val="000000" w:themeColor="text1"/>
                <w:sz w:val="32"/>
                <w:szCs w:val="32"/>
                <w14:textFill>
                  <w14:solidFill>
                    <w14:schemeClr w14:val="tx1"/>
                  </w14:solidFill>
                </w14:textFill>
              </w:rPr>
            </w:pPr>
          </w:p>
        </w:tc>
      </w:tr>
      <w:tr w14:paraId="1529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314" w:type="pct"/>
            <w:vMerge w:val="continue"/>
            <w:vAlign w:val="center"/>
          </w:tcPr>
          <w:p w14:paraId="6FA713F2">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77B52545">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p>
        </w:tc>
        <w:tc>
          <w:tcPr>
            <w:tcW w:w="1081" w:type="pct"/>
            <w:vAlign w:val="center"/>
          </w:tcPr>
          <w:p w14:paraId="7B63B9BB">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工作单位</w:t>
            </w:r>
          </w:p>
        </w:tc>
        <w:tc>
          <w:tcPr>
            <w:tcW w:w="3356" w:type="pct"/>
            <w:gridSpan w:val="3"/>
            <w:vAlign w:val="center"/>
          </w:tcPr>
          <w:p w14:paraId="3BD929E7">
            <w:pPr>
              <w:spacing w:line="500" w:lineRule="exact"/>
              <w:jc w:val="center"/>
              <w:rPr>
                <w:rFonts w:eastAsia="仿宋_GB2312"/>
                <w:color w:val="000000" w:themeColor="text1"/>
                <w:sz w:val="32"/>
                <w:szCs w:val="32"/>
                <w14:textFill>
                  <w14:solidFill>
                    <w14:schemeClr w14:val="tx1"/>
                  </w14:solidFill>
                </w14:textFill>
              </w:rPr>
            </w:pPr>
          </w:p>
        </w:tc>
      </w:tr>
      <w:tr w14:paraId="434D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314" w:type="pct"/>
            <w:vMerge w:val="continue"/>
            <w:vAlign w:val="center"/>
          </w:tcPr>
          <w:p w14:paraId="6EE98F5F">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112E168B">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p>
        </w:tc>
        <w:tc>
          <w:tcPr>
            <w:tcW w:w="1081" w:type="pct"/>
            <w:vAlign w:val="center"/>
          </w:tcPr>
          <w:p w14:paraId="30237CAF">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回避理由</w:t>
            </w:r>
          </w:p>
        </w:tc>
        <w:tc>
          <w:tcPr>
            <w:tcW w:w="3356" w:type="pct"/>
            <w:gridSpan w:val="3"/>
            <w:vAlign w:val="center"/>
          </w:tcPr>
          <w:p w14:paraId="5C73032A">
            <w:pPr>
              <w:spacing w:line="500" w:lineRule="exact"/>
              <w:jc w:val="center"/>
              <w:rPr>
                <w:rFonts w:eastAsia="仿宋_GB2312"/>
                <w:color w:val="000000" w:themeColor="text1"/>
                <w:sz w:val="32"/>
                <w:szCs w:val="32"/>
                <w14:textFill>
                  <w14:solidFill>
                    <w14:schemeClr w14:val="tx1"/>
                  </w14:solidFill>
                </w14:textFill>
              </w:rPr>
            </w:pPr>
          </w:p>
        </w:tc>
      </w:tr>
      <w:tr w14:paraId="15FE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14" w:type="pct"/>
            <w:vMerge w:val="continue"/>
            <w:vAlign w:val="center"/>
          </w:tcPr>
          <w:p w14:paraId="06CD8853">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restart"/>
            <w:vAlign w:val="center"/>
          </w:tcPr>
          <w:p w14:paraId="15F38C3B">
            <w:pPr>
              <w:spacing w:line="5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w:t>
            </w:r>
          </w:p>
        </w:tc>
        <w:tc>
          <w:tcPr>
            <w:tcW w:w="1081" w:type="pct"/>
            <w:vAlign w:val="center"/>
          </w:tcPr>
          <w:p w14:paraId="3B577020">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姓   名</w:t>
            </w:r>
          </w:p>
        </w:tc>
        <w:tc>
          <w:tcPr>
            <w:tcW w:w="1049" w:type="pct"/>
            <w:vAlign w:val="center"/>
          </w:tcPr>
          <w:p w14:paraId="24755A69">
            <w:pPr>
              <w:spacing w:line="500" w:lineRule="exact"/>
              <w:jc w:val="center"/>
              <w:rPr>
                <w:rFonts w:eastAsia="仿宋_GB2312"/>
                <w:color w:val="000000" w:themeColor="text1"/>
                <w:sz w:val="32"/>
                <w:szCs w:val="32"/>
                <w14:textFill>
                  <w14:solidFill>
                    <w14:schemeClr w14:val="tx1"/>
                  </w14:solidFill>
                </w14:textFill>
              </w:rPr>
            </w:pPr>
          </w:p>
        </w:tc>
        <w:tc>
          <w:tcPr>
            <w:tcW w:w="563" w:type="pct"/>
            <w:vAlign w:val="center"/>
          </w:tcPr>
          <w:p w14:paraId="451A3F5E">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专业</w:t>
            </w:r>
          </w:p>
        </w:tc>
        <w:tc>
          <w:tcPr>
            <w:tcW w:w="1744" w:type="pct"/>
            <w:vAlign w:val="center"/>
          </w:tcPr>
          <w:p w14:paraId="1AFDCF18">
            <w:pPr>
              <w:spacing w:line="500" w:lineRule="exact"/>
              <w:jc w:val="center"/>
              <w:rPr>
                <w:rFonts w:eastAsia="仿宋_GB2312"/>
                <w:color w:val="000000" w:themeColor="text1"/>
                <w:sz w:val="32"/>
                <w:szCs w:val="32"/>
                <w14:textFill>
                  <w14:solidFill>
                    <w14:schemeClr w14:val="tx1"/>
                  </w14:solidFill>
                </w14:textFill>
              </w:rPr>
            </w:pPr>
          </w:p>
        </w:tc>
      </w:tr>
      <w:tr w14:paraId="4344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314" w:type="pct"/>
            <w:vMerge w:val="continue"/>
            <w:vAlign w:val="center"/>
          </w:tcPr>
          <w:p w14:paraId="61597C34">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40FEB7FF">
            <w:pPr>
              <w:spacing w:line="500" w:lineRule="exact"/>
              <w:jc w:val="center"/>
              <w:rPr>
                <w:rFonts w:eastAsia="仿宋_GB2312"/>
                <w:color w:val="000000" w:themeColor="text1"/>
                <w:sz w:val="32"/>
                <w:szCs w:val="32"/>
                <w14:textFill>
                  <w14:solidFill>
                    <w14:schemeClr w14:val="tx1"/>
                  </w14:solidFill>
                </w14:textFill>
              </w:rPr>
            </w:pPr>
          </w:p>
        </w:tc>
        <w:tc>
          <w:tcPr>
            <w:tcW w:w="1081" w:type="pct"/>
            <w:vAlign w:val="center"/>
          </w:tcPr>
          <w:p w14:paraId="06E59B11">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工作单位</w:t>
            </w:r>
          </w:p>
        </w:tc>
        <w:tc>
          <w:tcPr>
            <w:tcW w:w="3356" w:type="pct"/>
            <w:gridSpan w:val="3"/>
            <w:vAlign w:val="center"/>
          </w:tcPr>
          <w:p w14:paraId="317A7E18">
            <w:pPr>
              <w:spacing w:line="500" w:lineRule="exact"/>
              <w:jc w:val="center"/>
              <w:rPr>
                <w:rFonts w:eastAsia="仿宋_GB2312"/>
                <w:color w:val="000000" w:themeColor="text1"/>
                <w:sz w:val="32"/>
                <w:szCs w:val="32"/>
                <w14:textFill>
                  <w14:solidFill>
                    <w14:schemeClr w14:val="tx1"/>
                  </w14:solidFill>
                </w14:textFill>
              </w:rPr>
            </w:pPr>
          </w:p>
        </w:tc>
      </w:tr>
      <w:tr w14:paraId="048B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314" w:type="pct"/>
            <w:vMerge w:val="continue"/>
            <w:vAlign w:val="center"/>
          </w:tcPr>
          <w:p w14:paraId="292F6F29">
            <w:pPr>
              <w:spacing w:line="500" w:lineRule="exact"/>
              <w:jc w:val="center"/>
              <w:rPr>
                <w:rFonts w:eastAsia="仿宋_GB2312"/>
                <w:color w:val="000000" w:themeColor="text1"/>
                <w:sz w:val="32"/>
                <w:szCs w:val="32"/>
                <w14:textFill>
                  <w14:solidFill>
                    <w14:schemeClr w14:val="tx1"/>
                  </w14:solidFill>
                </w14:textFill>
              </w:rPr>
            </w:pPr>
          </w:p>
        </w:tc>
        <w:tc>
          <w:tcPr>
            <w:tcW w:w="249" w:type="pct"/>
            <w:vMerge w:val="continue"/>
            <w:vAlign w:val="center"/>
          </w:tcPr>
          <w:p w14:paraId="1BC8400E">
            <w:pPr>
              <w:spacing w:line="500" w:lineRule="exact"/>
              <w:jc w:val="center"/>
              <w:rPr>
                <w:rFonts w:eastAsia="仿宋_GB2312"/>
                <w:color w:val="000000" w:themeColor="text1"/>
                <w:sz w:val="32"/>
                <w:szCs w:val="32"/>
                <w14:textFill>
                  <w14:solidFill>
                    <w14:schemeClr w14:val="tx1"/>
                  </w14:solidFill>
                </w14:textFill>
              </w:rPr>
            </w:pPr>
          </w:p>
        </w:tc>
        <w:tc>
          <w:tcPr>
            <w:tcW w:w="1081" w:type="pct"/>
            <w:vAlign w:val="center"/>
          </w:tcPr>
          <w:p w14:paraId="6C4E097D">
            <w:pPr>
              <w:spacing w:line="5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回避理由</w:t>
            </w:r>
          </w:p>
        </w:tc>
        <w:tc>
          <w:tcPr>
            <w:tcW w:w="3356" w:type="pct"/>
            <w:gridSpan w:val="3"/>
            <w:vAlign w:val="center"/>
          </w:tcPr>
          <w:p w14:paraId="08CEE74A">
            <w:pPr>
              <w:spacing w:line="500" w:lineRule="exact"/>
              <w:jc w:val="center"/>
              <w:rPr>
                <w:rFonts w:eastAsia="仿宋_GB2312"/>
                <w:color w:val="000000" w:themeColor="text1"/>
                <w:sz w:val="32"/>
                <w:szCs w:val="32"/>
                <w14:textFill>
                  <w14:solidFill>
                    <w14:schemeClr w14:val="tx1"/>
                  </w14:solidFill>
                </w14:textFill>
              </w:rPr>
            </w:pPr>
          </w:p>
        </w:tc>
      </w:tr>
      <w:tr w14:paraId="40C5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1" w:hRule="atLeast"/>
          <w:jc w:val="center"/>
        </w:trPr>
        <w:tc>
          <w:tcPr>
            <w:tcW w:w="5000" w:type="pct"/>
            <w:gridSpan w:val="6"/>
            <w:vAlign w:val="center"/>
          </w:tcPr>
          <w:p w14:paraId="00FE01F9">
            <w:pPr>
              <w:spacing w:after="156" w:afterLines="50" w:line="500" w:lineRule="exact"/>
              <w:ind w:firstLine="4350" w:firstLineChars="1450"/>
              <w:rPr>
                <w:rFonts w:hint="eastAsia"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提名</w:t>
            </w:r>
            <w:r>
              <w:rPr>
                <w:rFonts w:eastAsia="仿宋_GB2312"/>
                <w:color w:val="000000" w:themeColor="text1"/>
                <w:sz w:val="30"/>
                <w:szCs w:val="30"/>
                <w14:textFill>
                  <w14:solidFill>
                    <w14:schemeClr w14:val="tx1"/>
                  </w14:solidFill>
                </w14:textFill>
              </w:rPr>
              <w:t>单位（盖章）</w:t>
            </w:r>
          </w:p>
          <w:p w14:paraId="2B9E6C06">
            <w:pPr>
              <w:spacing w:after="156" w:afterLines="50" w:line="500" w:lineRule="exact"/>
              <w:ind w:firstLine="4350" w:firstLineChars="14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提名专家（签字）</w:t>
            </w:r>
          </w:p>
          <w:p w14:paraId="77A2EF5B">
            <w:pPr>
              <w:spacing w:line="500" w:lineRule="exact"/>
              <w:ind w:firstLine="4950" w:firstLineChars="1650"/>
              <w:rPr>
                <w:rFonts w:eastAsia="仿宋_GB2312"/>
                <w:color w:val="000000" w:themeColor="text1"/>
                <w:sz w:val="32"/>
                <w:szCs w:val="32"/>
                <w14:textFill>
                  <w14:solidFill>
                    <w14:schemeClr w14:val="tx1"/>
                  </w14:solidFill>
                </w14:textFill>
              </w:rPr>
            </w:pPr>
            <w:r>
              <w:rPr>
                <w:rFonts w:eastAsia="仿宋_GB2312"/>
                <w:color w:val="000000" w:themeColor="text1"/>
                <w:sz w:val="30"/>
                <w:szCs w:val="30"/>
                <w14:textFill>
                  <w14:solidFill>
                    <w14:schemeClr w14:val="tx1"/>
                  </w14:solidFill>
                </w14:textFill>
              </w:rPr>
              <w:t>年    月    日</w:t>
            </w:r>
          </w:p>
        </w:tc>
      </w:tr>
    </w:tbl>
    <w:p w14:paraId="6ED47263">
      <w:pPr>
        <w:spacing w:line="40" w:lineRule="exact"/>
        <w:rPr>
          <w:rFonts w:eastAsia="仿宋_GB2312"/>
          <w:color w:val="000000" w:themeColor="text1"/>
          <w:sz w:val="32"/>
          <w:szCs w:val="32"/>
          <w14:textFill>
            <w14:solidFill>
              <w14:schemeClr w14:val="tx1"/>
            </w14:solidFill>
          </w14:textFill>
        </w:rPr>
      </w:pPr>
    </w:p>
    <w:p w14:paraId="67352BB6">
      <w:pPr>
        <w:spacing w:line="440" w:lineRule="atLeast"/>
        <w:rPr>
          <w:rFonts w:hint="eastAsia" w:eastAsia="仿宋_GB2312"/>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注：</w:t>
      </w:r>
      <w:r>
        <w:rPr>
          <w:rFonts w:eastAsia="仿宋_GB2312"/>
          <w:color w:val="000000" w:themeColor="text1"/>
          <w:sz w:val="24"/>
          <w14:textFill>
            <w14:solidFill>
              <w14:schemeClr w14:val="tx1"/>
            </w14:solidFill>
          </w14:textFill>
        </w:rPr>
        <w:t>每个</w:t>
      </w:r>
      <w:r>
        <w:rPr>
          <w:rFonts w:hint="eastAsia" w:eastAsia="仿宋_GB2312"/>
          <w:color w:val="000000" w:themeColor="text1"/>
          <w:sz w:val="24"/>
          <w14:textFill>
            <w14:solidFill>
              <w14:schemeClr w14:val="tx1"/>
            </w14:solidFill>
          </w14:textFill>
        </w:rPr>
        <w:t>提名</w:t>
      </w:r>
      <w:r>
        <w:rPr>
          <w:rFonts w:eastAsia="仿宋_GB2312"/>
          <w:color w:val="000000" w:themeColor="text1"/>
          <w:sz w:val="24"/>
          <w14:textFill>
            <w14:solidFill>
              <w14:schemeClr w14:val="tx1"/>
            </w14:solidFill>
          </w14:textFill>
        </w:rPr>
        <w:t>项目提出的回避专家不得超过</w:t>
      </w:r>
      <w:r>
        <w:rPr>
          <w:rFonts w:ascii="Times New Roman" w:hAnsi="Times New Roman" w:eastAsia="仿宋_GB2312" w:cs="Times New Roman"/>
          <w:color w:val="000000" w:themeColor="text1"/>
          <w:sz w:val="24"/>
          <w14:textFill>
            <w14:solidFill>
              <w14:schemeClr w14:val="tx1"/>
            </w14:solidFill>
          </w14:textFill>
        </w:rPr>
        <w:t>3</w:t>
      </w:r>
      <w:r>
        <w:rPr>
          <w:rFonts w:eastAsia="仿宋_GB2312"/>
          <w:color w:val="000000" w:themeColor="text1"/>
          <w:sz w:val="24"/>
          <w14:textFill>
            <w14:solidFill>
              <w14:schemeClr w14:val="tx1"/>
            </w14:solidFill>
          </w14:textFill>
        </w:rPr>
        <w:t>人。原则上只限评审专家与被评审的候选人、候选单位或项目有利害关系的，</w:t>
      </w:r>
      <w:r>
        <w:rPr>
          <w:rFonts w:hint="eastAsia" w:eastAsia="仿宋_GB2312"/>
          <w:color w:val="000000" w:themeColor="text1"/>
          <w:sz w:val="24"/>
          <w14:textFill>
            <w14:solidFill>
              <w14:schemeClr w14:val="tx1"/>
            </w14:solidFill>
          </w14:textFill>
        </w:rPr>
        <w:t>提名</w:t>
      </w:r>
      <w:r>
        <w:rPr>
          <w:rFonts w:eastAsia="仿宋_GB2312"/>
          <w:color w:val="000000" w:themeColor="text1"/>
          <w:sz w:val="24"/>
          <w14:textFill>
            <w14:solidFill>
              <w14:schemeClr w14:val="tx1"/>
            </w14:solidFill>
          </w14:textFill>
        </w:rPr>
        <w:t>单位</w:t>
      </w:r>
      <w:r>
        <w:rPr>
          <w:rFonts w:hint="eastAsia" w:eastAsia="仿宋_GB2312"/>
          <w:color w:val="000000" w:themeColor="text1"/>
          <w:sz w:val="24"/>
          <w14:textFill>
            <w14:solidFill>
              <w14:schemeClr w14:val="tx1"/>
            </w14:solidFill>
          </w14:textFill>
        </w:rPr>
        <w:t>（专家）</w:t>
      </w:r>
      <w:r>
        <w:rPr>
          <w:rFonts w:eastAsia="仿宋_GB2312"/>
          <w:color w:val="000000" w:themeColor="text1"/>
          <w:sz w:val="24"/>
          <w14:textFill>
            <w14:solidFill>
              <w14:schemeClr w14:val="tx1"/>
            </w14:solidFill>
          </w14:textFill>
        </w:rPr>
        <w:t>可以提出回避申请，并在</w:t>
      </w:r>
      <w:r>
        <w:rPr>
          <w:rFonts w:hint="eastAsia" w:eastAsia="仿宋_GB2312"/>
          <w:color w:val="000000" w:themeColor="text1"/>
          <w:sz w:val="24"/>
          <w14:textFill>
            <w14:solidFill>
              <w14:schemeClr w14:val="tx1"/>
            </w14:solidFill>
          </w14:textFill>
        </w:rPr>
        <w:t>提名</w:t>
      </w:r>
      <w:r>
        <w:rPr>
          <w:rFonts w:eastAsia="仿宋_GB2312"/>
          <w:color w:val="000000" w:themeColor="text1"/>
          <w:sz w:val="24"/>
          <w14:textFill>
            <w14:solidFill>
              <w14:schemeClr w14:val="tx1"/>
            </w14:solidFill>
          </w14:textFill>
        </w:rPr>
        <w:t>时书面提出理由及相关的证明材料；学术观点不同、同行竞争等不得作为申请专家回避的理由。</w:t>
      </w:r>
    </w:p>
    <w:p w14:paraId="7DDAC698">
      <w:pPr>
        <w:spacing w:line="560" w:lineRule="exact"/>
        <w:rPr>
          <w:rFonts w:ascii="仿宋_GB2312" w:eastAsia="仿宋_GB2312"/>
          <w:color w:val="000000" w:themeColor="text1"/>
          <w:sz w:val="32"/>
          <w:szCs w:val="32"/>
          <w14:textFill>
            <w14:solidFill>
              <w14:schemeClr w14:val="tx1"/>
            </w14:solidFill>
          </w14:textFill>
        </w:rPr>
      </w:pPr>
    </w:p>
    <w:p w14:paraId="4D01C17C">
      <w:pPr>
        <w:spacing w:line="560" w:lineRule="exact"/>
        <w:rPr>
          <w:rFonts w:hint="eastAsia"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br w:type="page"/>
      </w:r>
      <w:r>
        <w:rPr>
          <w:rFonts w:ascii="Times New Roman" w:hAnsi="Times New Roman" w:eastAsia="黑体" w:cs="Times New Roman"/>
          <w:color w:val="000000" w:themeColor="text1"/>
          <w:sz w:val="32"/>
          <w:szCs w:val="32"/>
          <w14:textFill>
            <w14:solidFill>
              <w14:schemeClr w14:val="tx1"/>
            </w14:solidFill>
          </w14:textFill>
        </w:rPr>
        <w:t>附件3</w:t>
      </w:r>
    </w:p>
    <w:p w14:paraId="57688D15">
      <w:pPr>
        <w:spacing w:line="560" w:lineRule="exact"/>
        <w:jc w:val="center"/>
        <w:rPr>
          <w:rFonts w:hint="eastAsia" w:ascii="华文中宋" w:hAnsi="华文中宋" w:eastAsia="华文中宋" w:cs="华文中宋"/>
          <w:b/>
          <w:color w:val="000000" w:themeColor="text1"/>
          <w:sz w:val="44"/>
          <w:szCs w:val="44"/>
          <w14:textFill>
            <w14:solidFill>
              <w14:schemeClr w14:val="tx1"/>
            </w14:solidFill>
          </w14:textFill>
        </w:rPr>
      </w:pPr>
    </w:p>
    <w:p w14:paraId="60F95311">
      <w:pPr>
        <w:spacing w:line="560" w:lineRule="exact"/>
        <w:jc w:val="cente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提名单位和机构名单</w:t>
      </w:r>
    </w:p>
    <w:p w14:paraId="57F4975B">
      <w:pPr>
        <w:spacing w:line="560" w:lineRule="exact"/>
        <w:jc w:val="center"/>
        <w:rPr>
          <w:rFonts w:hint="eastAsia" w:ascii="宋体" w:hAnsi="宋体" w:eastAsia="宋体" w:cs="Times New Roman"/>
          <w:b/>
          <w:color w:val="000000" w:themeColor="text1"/>
          <w:sz w:val="36"/>
          <w:szCs w:val="36"/>
          <w14:textFill>
            <w14:solidFill>
              <w14:schemeClr w14:val="tx1"/>
            </w14:solidFill>
          </w14:textFill>
        </w:rPr>
      </w:pPr>
    </w:p>
    <w:p w14:paraId="5D5F5247">
      <w:pPr>
        <w:spacing w:line="600" w:lineRule="exact"/>
        <w:ind w:firstLine="643" w:firstLineChars="200"/>
        <w:rPr>
          <w:rFonts w:hint="eastAsia"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一、</w:t>
      </w:r>
      <w:r>
        <w:rPr>
          <w:rFonts w:hint="eastAsia" w:ascii="仿宋_GB2312" w:hAnsi="Times New Roman" w:eastAsia="仿宋_GB2312" w:cs="Times New Roman"/>
          <w:color w:val="000000" w:themeColor="text1"/>
          <w:sz w:val="32"/>
          <w:szCs w:val="32"/>
          <w14:textFill>
            <w14:solidFill>
              <w14:schemeClr w14:val="tx1"/>
            </w14:solidFill>
          </w14:textFill>
        </w:rPr>
        <w:t>省直相关部门、市（州）人民政府</w:t>
      </w:r>
      <w:r>
        <w:rPr>
          <w:rFonts w:hint="eastAsia" w:ascii="仿宋_GB2312" w:hAnsi="Times New Roman" w:eastAsia="仿宋_GB2312" w:cs="Times New Roman"/>
          <w:b/>
          <w:bCs/>
          <w:color w:val="000000" w:themeColor="text1"/>
          <w:sz w:val="32"/>
          <w:szCs w:val="32"/>
          <w14:textFill>
            <w14:solidFill>
              <w14:schemeClr w14:val="tx1"/>
            </w14:solidFill>
          </w14:textFill>
        </w:rPr>
        <w:t>（省科技奖励综合业务管理系统提名时显示）</w:t>
      </w:r>
    </w:p>
    <w:p w14:paraId="2CE44DED">
      <w:pPr>
        <w:spacing w:line="600" w:lineRule="exact"/>
        <w:ind w:firstLine="643" w:firstLineChars="200"/>
        <w:rPr>
          <w:rFonts w:ascii="方正小标宋简体" w:eastAsia="方正小标宋简体"/>
          <w:color w:val="000000" w:themeColor="text1"/>
          <w:spacing w:val="-20"/>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二、中央在川高校</w:t>
      </w:r>
      <w:r>
        <w:rPr>
          <w:rFonts w:hint="eastAsia" w:ascii="仿宋_GB2312" w:eastAsia="仿宋_GB2312"/>
          <w:color w:val="000000" w:themeColor="text1"/>
          <w:spacing w:val="-20"/>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可提名本单位科技奖励项目）</w:t>
      </w:r>
    </w:p>
    <w:p w14:paraId="4D8E58A9">
      <w:pPr>
        <w:spacing w:line="600"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四川大学、电子科技大学、西南交通大学、西南民族大学</w:t>
      </w:r>
    </w:p>
    <w:p w14:paraId="68EC23E2">
      <w:pPr>
        <w:spacing w:line="600" w:lineRule="exact"/>
        <w:ind w:firstLine="643"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三、中央在川研究院所</w:t>
      </w:r>
      <w:r>
        <w:rPr>
          <w:rFonts w:hint="eastAsia" w:ascii="仿宋_GB2312" w:eastAsia="仿宋_GB2312"/>
          <w:color w:val="000000" w:themeColor="text1"/>
          <w:sz w:val="32"/>
          <w:szCs w:val="32"/>
          <w14:textFill>
            <w14:solidFill>
              <w14:schemeClr w14:val="tx1"/>
            </w14:solidFill>
          </w14:textFill>
        </w:rPr>
        <w:t>（可提名本单位及直属单位科技奖励项目）</w:t>
      </w:r>
    </w:p>
    <w:p w14:paraId="462982CC">
      <w:pPr>
        <w:spacing w:line="600"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中国科学院成都分院、中国工程物理研究院、中国核动力研究设计院、中国航发四川燃气涡轮研究院、中国测试技术研究院、中国空气动力研究与发展中心</w:t>
      </w:r>
    </w:p>
    <w:p w14:paraId="418BA2F4">
      <w:pPr>
        <w:spacing w:line="600"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四、央属企业</w:t>
      </w:r>
      <w:r>
        <w:rPr>
          <w:rFonts w:hint="eastAsia" w:ascii="仿宋_GB2312" w:eastAsia="仿宋_GB2312"/>
          <w:color w:val="000000" w:themeColor="text1"/>
          <w:sz w:val="32"/>
          <w:szCs w:val="32"/>
          <w14:textFill>
            <w14:solidFill>
              <w14:schemeClr w14:val="tx1"/>
            </w14:solidFill>
          </w14:textFill>
        </w:rPr>
        <w:t>（可提名本单位及直属单位科技奖励项目）</w:t>
      </w:r>
    </w:p>
    <w:p w14:paraId="24F73220">
      <w:pPr>
        <w:spacing w:line="600" w:lineRule="exact"/>
        <w:ind w:firstLine="645"/>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中国东方电气集团有限公司、攀钢集团有限公司、国网四川省电力公司、四川石油管理局有限公司、中石化西南石油局有限公司、中铁二院工程集团有限责任公司、中铁二局集团有限公司、中铁二十三局集团有限公司、成都飞机工业（集团）有限责任公司</w:t>
      </w:r>
    </w:p>
    <w:p w14:paraId="3A4AB40A">
      <w:pPr>
        <w:spacing w:line="600"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五、省属企业</w:t>
      </w:r>
      <w:r>
        <w:rPr>
          <w:rFonts w:hint="eastAsia" w:ascii="仿宋_GB2312" w:eastAsia="仿宋_GB2312"/>
          <w:color w:val="000000" w:themeColor="text1"/>
          <w:sz w:val="32"/>
          <w:szCs w:val="32"/>
          <w14:textFill>
            <w14:solidFill>
              <w14:schemeClr w14:val="tx1"/>
            </w14:solidFill>
          </w14:textFill>
        </w:rPr>
        <w:t>（可提名本单位及直属单位科技奖励项目）</w:t>
      </w:r>
    </w:p>
    <w:p w14:paraId="5EE9C93C">
      <w:pPr>
        <w:pStyle w:val="3"/>
        <w:spacing w:line="600" w:lineRule="exact"/>
        <w:ind w:firstLine="640" w:firstLineChars="200"/>
        <w:rPr>
          <w:rFonts w:hint="eastAsia" w:ascii="仿宋_GB2312" w:eastAsia="仿宋_GB2312"/>
          <w:color w:val="000000" w:themeColor="text1"/>
          <w:szCs w:val="32"/>
          <w:lang w:val="en"/>
          <w14:textFill>
            <w14:solidFill>
              <w14:schemeClr w14:val="tx1"/>
            </w14:solidFill>
          </w14:textFill>
        </w:rPr>
      </w:pPr>
      <w:r>
        <w:rPr>
          <w:rFonts w:hint="eastAsia" w:ascii="仿宋_GB2312" w:eastAsia="仿宋_GB2312"/>
          <w:color w:val="000000" w:themeColor="text1"/>
          <w:szCs w:val="32"/>
          <w:lang w:val="en"/>
          <w14:textFill>
            <w14:solidFill>
              <w14:schemeClr w14:val="tx1"/>
            </w14:solidFill>
          </w14:textFill>
        </w:rPr>
        <w:t>蜀道投资集团有限责任公司</w:t>
      </w:r>
    </w:p>
    <w:p w14:paraId="49D9E853">
      <w:pPr>
        <w:spacing w:line="600" w:lineRule="exact"/>
        <w:ind w:firstLine="643" w:firstLineChars="200"/>
        <w:rPr>
          <w:rFonts w:ascii="方正小标宋简体" w:eastAsia="方正小标宋简体"/>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六、学会、协会等其他提名机构</w:t>
      </w:r>
      <w:r>
        <w:rPr>
          <w:rFonts w:hint="eastAsia" w:ascii="仿宋_GB2312" w:eastAsia="仿宋_GB2312"/>
          <w:color w:val="000000" w:themeColor="text1"/>
          <w:sz w:val="32"/>
          <w:szCs w:val="32"/>
          <w14:textFill>
            <w14:solidFill>
              <w14:schemeClr w14:val="tx1"/>
            </w14:solidFill>
          </w14:textFill>
        </w:rPr>
        <w:t>（专业性学会协会可提名本领域科技奖励项目，综合性学会协会及其他提名机构可提名会员单位科技奖励项目）</w:t>
      </w:r>
    </w:p>
    <w:p w14:paraId="47B296B6">
      <w:pPr>
        <w:spacing w:line="600" w:lineRule="exact"/>
        <w:ind w:firstLine="636"/>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四川省金属学会、四川省机械工程学会、四川省化工行业协会、四川省医学会、四川省电子学会、四川省林学会、四川省公路学会、四川省环境科学学会、四川省中医药信息学会、四川省科技协同创新促进会、四川省食品科学技术学会、四川省生产力促进中心协会、四川省技术市场协会、四川省分析测试学会、四川省石油学会、四川省天府峨眉计划专家联谊会、先进技术成果西部转化中心</w:t>
      </w:r>
    </w:p>
    <w:p w14:paraId="5185CA15">
      <w:pPr>
        <w:spacing w:line="600" w:lineRule="exact"/>
        <w:jc w:val="center"/>
        <w:rPr>
          <w:rFonts w:hint="eastAsia" w:ascii="宋体" w:hAnsi="宋体" w:eastAsia="宋体" w:cs="Times New Roman"/>
          <w:b/>
          <w:color w:val="000000" w:themeColor="text1"/>
          <w:sz w:val="36"/>
          <w:szCs w:val="36"/>
          <w14:textFill>
            <w14:solidFill>
              <w14:schemeClr w14:val="tx1"/>
            </w14:solidFill>
          </w14:textFill>
        </w:rPr>
        <w:sectPr>
          <w:footerReference r:id="rId3" w:type="default"/>
          <w:footerReference r:id="rId4" w:type="even"/>
          <w:pgSz w:w="11906" w:h="16838"/>
          <w:pgMar w:top="2098" w:right="1474" w:bottom="1985" w:left="1588" w:header="851" w:footer="992" w:gutter="0"/>
          <w:cols w:space="720" w:num="1"/>
          <w:docGrid w:type="lines" w:linePitch="312" w:charSpace="0"/>
        </w:sectPr>
      </w:pPr>
    </w:p>
    <w:p w14:paraId="7CA7C269">
      <w:pP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附件4</w:t>
      </w:r>
    </w:p>
    <w:p w14:paraId="4ADA4256">
      <w:pPr>
        <w:rPr>
          <w:rFonts w:hint="eastAsia" w:ascii="仿宋_GB2312" w:hAnsi="仿宋_GB2312" w:eastAsia="仿宋_GB2312" w:cs="仿宋_GB2312"/>
          <w:color w:val="000000" w:themeColor="text1"/>
          <w:sz w:val="44"/>
          <w:szCs w:val="44"/>
          <w14:textFill>
            <w14:solidFill>
              <w14:schemeClr w14:val="tx1"/>
            </w14:solidFill>
          </w14:textFill>
        </w:rPr>
      </w:pPr>
    </w:p>
    <w:p w14:paraId="322FB163">
      <w:pPr>
        <w:rPr>
          <w:rFonts w:hint="eastAsia" w:ascii="仿宋_GB2312" w:hAnsi="仿宋_GB2312" w:eastAsia="仿宋_GB2312" w:cs="仿宋_GB2312"/>
          <w:color w:val="000000" w:themeColor="text1"/>
          <w:sz w:val="44"/>
          <w:szCs w:val="44"/>
          <w14:textFill>
            <w14:solidFill>
              <w14:schemeClr w14:val="tx1"/>
            </w14:solidFill>
          </w14:textFill>
        </w:rPr>
      </w:pPr>
    </w:p>
    <w:p w14:paraId="6AB4FC21">
      <w:pPr>
        <w:spacing w:line="360" w:lineRule="auto"/>
        <w:jc w:val="center"/>
        <w:outlineLvl w:val="0"/>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t>科技奖励综合业务系统用户注册</w:t>
      </w:r>
    </w:p>
    <w:p w14:paraId="3C395DAC">
      <w:pPr>
        <w:spacing w:line="360" w:lineRule="auto"/>
        <w:jc w:val="center"/>
        <w:outlineLvl w:val="0"/>
        <w:rPr>
          <w:rFonts w:hint="eastAsia" w:ascii="华文中宋" w:hAnsi="华文中宋" w:eastAsia="华文中宋" w:cs="仿宋_GB2312"/>
          <w:b/>
          <w:snapToGrid w:val="0"/>
          <w:color w:val="000000" w:themeColor="text1"/>
          <w:sz w:val="44"/>
          <w:szCs w:val="44"/>
          <w14:textFill>
            <w14:solidFill>
              <w14:schemeClr w14:val="tx1"/>
            </w14:solidFill>
          </w14:textFill>
        </w:rPr>
      </w:pPr>
    </w:p>
    <w:p w14:paraId="7FCB6799">
      <w:pPr>
        <w:pStyle w:val="3"/>
        <w:rPr>
          <w:rFonts w:hint="eastAsia"/>
          <w:color w:val="000000" w:themeColor="text1"/>
          <w14:textFill>
            <w14:solidFill>
              <w14:schemeClr w14:val="tx1"/>
            </w14:solidFill>
          </w14:textFill>
        </w:rPr>
      </w:pPr>
    </w:p>
    <w:p w14:paraId="395249CD">
      <w:pPr>
        <w:spacing w:line="360" w:lineRule="auto"/>
        <w:jc w:val="center"/>
        <w:outlineLvl w:val="0"/>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t>操</w:t>
      </w:r>
    </w:p>
    <w:p w14:paraId="24E602A2">
      <w:pPr>
        <w:spacing w:line="360" w:lineRule="auto"/>
        <w:jc w:val="center"/>
        <w:outlineLvl w:val="0"/>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t>作</w:t>
      </w:r>
    </w:p>
    <w:p w14:paraId="26FFCD6E">
      <w:pPr>
        <w:spacing w:line="360" w:lineRule="auto"/>
        <w:jc w:val="center"/>
        <w:outlineLvl w:val="0"/>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t>手</w:t>
      </w:r>
    </w:p>
    <w:p w14:paraId="3E78C0DD">
      <w:pPr>
        <w:spacing w:line="360" w:lineRule="auto"/>
        <w:jc w:val="center"/>
        <w:outlineLvl w:val="0"/>
        <w:rPr>
          <w:rFonts w:hint="eastAsia" w:ascii="华文中宋" w:hAnsi="华文中宋" w:eastAsia="华文中宋" w:cs="仿宋_GB2312"/>
          <w:b/>
          <w:snapToGrid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snapToGrid w:val="0"/>
          <w:color w:val="000000" w:themeColor="text1"/>
          <w:sz w:val="44"/>
          <w:szCs w:val="44"/>
          <w14:textFill>
            <w14:solidFill>
              <w14:schemeClr w14:val="tx1"/>
            </w14:solidFill>
          </w14:textFill>
        </w:rPr>
        <w:t>册</w:t>
      </w:r>
    </w:p>
    <w:p w14:paraId="398BB833">
      <w:pPr>
        <w:spacing w:line="700" w:lineRule="exact"/>
        <w:jc w:val="center"/>
        <w:rPr>
          <w:rFonts w:hint="eastAsia" w:ascii="仿宋_GB2312" w:hAnsi="仿宋_GB2312" w:eastAsia="仿宋_GB2312" w:cs="仿宋_GB2312"/>
          <w:color w:val="000000" w:themeColor="text1"/>
          <w:sz w:val="44"/>
          <w:szCs w:val="44"/>
          <w14:textFill>
            <w14:solidFill>
              <w14:schemeClr w14:val="tx1"/>
            </w14:solidFill>
          </w14:textFill>
        </w:rPr>
      </w:pPr>
    </w:p>
    <w:p w14:paraId="4026552B">
      <w:pPr>
        <w:spacing w:line="700" w:lineRule="exact"/>
        <w:jc w:val="center"/>
        <w:rPr>
          <w:rFonts w:hint="eastAsia" w:ascii="仿宋_GB2312" w:hAnsi="仿宋_GB2312" w:eastAsia="仿宋_GB2312" w:cs="仿宋_GB2312"/>
          <w:color w:val="000000" w:themeColor="text1"/>
          <w:sz w:val="44"/>
          <w:szCs w:val="44"/>
          <w14:textFill>
            <w14:solidFill>
              <w14:schemeClr w14:val="tx1"/>
            </w14:solidFill>
          </w14:textFill>
        </w:rPr>
      </w:pPr>
    </w:p>
    <w:p w14:paraId="199E27E4">
      <w:pPr>
        <w:spacing w:line="700" w:lineRule="exact"/>
        <w:jc w:val="center"/>
        <w:rPr>
          <w:rFonts w:hint="eastAsia" w:ascii="仿宋_GB2312" w:hAnsi="仿宋_GB2312" w:eastAsia="仿宋_GB2312" w:cs="仿宋_GB2312"/>
          <w:color w:val="000000" w:themeColor="text1"/>
          <w:sz w:val="44"/>
          <w:szCs w:val="44"/>
          <w14:textFill>
            <w14:solidFill>
              <w14:schemeClr w14:val="tx1"/>
            </w14:solidFill>
          </w14:textFill>
        </w:rPr>
      </w:pPr>
    </w:p>
    <w:p w14:paraId="636D246D">
      <w:pPr>
        <w:pStyle w:val="3"/>
        <w:rPr>
          <w:rFonts w:hint="eastAsia" w:ascii="仿宋_GB2312" w:hAnsi="仿宋_GB2312" w:eastAsia="仿宋_GB2312" w:cs="仿宋_GB2312"/>
          <w:color w:val="000000" w:themeColor="text1"/>
          <w:sz w:val="44"/>
          <w:szCs w:val="44"/>
          <w14:textFill>
            <w14:solidFill>
              <w14:schemeClr w14:val="tx1"/>
            </w14:solidFill>
          </w14:textFill>
        </w:rPr>
      </w:pPr>
    </w:p>
    <w:p w14:paraId="6D1B5830">
      <w:pPr>
        <w:rPr>
          <w:rFonts w:hint="eastAsia"/>
          <w:color w:val="000000" w:themeColor="text1"/>
          <w14:textFill>
            <w14:solidFill>
              <w14:schemeClr w14:val="tx1"/>
            </w14:solidFill>
          </w14:textFill>
        </w:rPr>
      </w:pPr>
    </w:p>
    <w:p w14:paraId="4D132D89">
      <w:pPr>
        <w:pStyle w:val="17"/>
        <w:ind w:firstLine="171"/>
        <w:outlineLvl w:val="0"/>
        <w:rPr>
          <w:rFonts w:ascii="Times New Roman" w:hAnsi="Times New Roman" w:eastAsia="仿宋_GB2312"/>
          <w:b/>
          <w:bCs/>
          <w:color w:val="000000" w:themeColor="text1"/>
          <w:kern w:val="0"/>
          <w:sz w:val="36"/>
          <w:szCs w:val="36"/>
          <w:lang w:val="en-US"/>
          <w14:textFill>
            <w14:solidFill>
              <w14:schemeClr w14:val="tx1"/>
            </w14:solidFill>
          </w14:textFill>
        </w:rPr>
      </w:pPr>
      <w:r>
        <w:rPr>
          <w:rFonts w:ascii="Times New Roman" w:hAnsi="Times New Roman" w:eastAsia="仿宋_GB2312"/>
          <w:b/>
          <w:bCs/>
          <w:color w:val="000000" w:themeColor="text1"/>
          <w:kern w:val="0"/>
          <w:sz w:val="36"/>
          <w:szCs w:val="36"/>
          <w:lang w:val="en-US"/>
          <w14:textFill>
            <w14:solidFill>
              <w14:schemeClr w14:val="tx1"/>
            </w14:solidFill>
          </w14:textFill>
        </w:rPr>
        <w:t>2024年10月</w:t>
      </w:r>
    </w:p>
    <w:p w14:paraId="73C6C399">
      <w:pPr>
        <w:pStyle w:val="17"/>
        <w:ind w:firstLine="171"/>
        <w:rPr>
          <w:rFonts w:hint="eastAsia" w:ascii="仿宋_GB2312" w:hAnsi="仿宋_GB2312" w:eastAsia="仿宋_GB2312" w:cs="仿宋_GB2312"/>
          <w:b/>
          <w:bCs/>
          <w:color w:val="000000" w:themeColor="text1"/>
          <w:kern w:val="0"/>
          <w:sz w:val="36"/>
          <w:szCs w:val="36"/>
          <w:lang w:val="en-US"/>
          <w14:textFill>
            <w14:solidFill>
              <w14:schemeClr w14:val="tx1"/>
            </w14:solidFill>
          </w14:textFill>
        </w:rPr>
      </w:pPr>
    </w:p>
    <w:p w14:paraId="053258FC">
      <w:pPr>
        <w:pStyle w:val="2"/>
        <w:widowControl/>
        <w:spacing w:beforeAutospacing="0" w:afterAutospacing="0" w:line="578"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ascii="方正小标宋简体" w:hAnsi="方正小标宋简体" w:eastAsia="方正小标宋简体" w:cs="方正小标宋简体"/>
          <w:color w:val="000000" w:themeColor="text1"/>
          <w:sz w:val="36"/>
          <w:szCs w:val="36"/>
          <w14:textFill>
            <w14:solidFill>
              <w14:schemeClr w14:val="tx1"/>
            </w14:solidFill>
          </w14:textFill>
        </w:rPr>
        <w:t>一、概  述</w:t>
      </w:r>
    </w:p>
    <w:p w14:paraId="778C6055">
      <w:pPr>
        <w:spacing w:line="550" w:lineRule="exact"/>
        <w:ind w:firstLine="600" w:firstLineChars="200"/>
        <w:outlineLvl w:val="1"/>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提名书填写步骤如下：</w:t>
      </w:r>
    </w:p>
    <w:p w14:paraId="5F58A433">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1.法人用户注册和认证</w:t>
      </w:r>
    </w:p>
    <w:p w14:paraId="66A01403">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访问【四川省政务服务网】(</w:t>
      </w:r>
      <w:r>
        <w:fldChar w:fldCharType="begin"/>
      </w:r>
      <w:r>
        <w:instrText xml:space="preserve"> HYPERLINK "http://www.sczwfw.gov.cn" </w:instrText>
      </w:r>
      <w:r>
        <w:fldChar w:fldCharType="separate"/>
      </w:r>
      <w:r>
        <w:rPr>
          <w:rStyle w:val="11"/>
          <w:rFonts w:ascii="Times New Roman" w:hAnsi="Times New Roman" w:eastAsia="仿宋_GB2312" w:cs="Times New Roman"/>
          <w:bCs/>
          <w:color w:val="000000" w:themeColor="text1"/>
          <w:sz w:val="30"/>
          <w:szCs w:val="30"/>
          <w14:textFill>
            <w14:solidFill>
              <w14:schemeClr w14:val="tx1"/>
            </w14:solidFill>
          </w14:textFill>
        </w:rPr>
        <w:t>http://www.sczwfw.gov.cn</w:t>
      </w:r>
      <w:r>
        <w:rPr>
          <w:rStyle w:val="11"/>
          <w:rFonts w:ascii="Times New Roman" w:hAnsi="Times New Roman" w:eastAsia="仿宋_GB2312" w:cs="Times New Roman"/>
          <w:bCs/>
          <w:color w:val="000000" w:themeColor="text1"/>
          <w:sz w:val="30"/>
          <w:szCs w:val="30"/>
          <w14:textFill>
            <w14:solidFill>
              <w14:schemeClr w14:val="tx1"/>
            </w14:solidFill>
          </w14:textFill>
        </w:rPr>
        <w:fldChar w:fldCharType="end"/>
      </w:r>
      <w:r>
        <w:rPr>
          <w:rFonts w:ascii="Times New Roman" w:hAnsi="Times New Roman" w:eastAsia="仿宋_GB2312" w:cs="Times New Roman"/>
          <w:bCs/>
          <w:color w:val="000000" w:themeColor="text1"/>
          <w:sz w:val="30"/>
          <w:szCs w:val="30"/>
          <w14:textFill>
            <w14:solidFill>
              <w14:schemeClr w14:val="tx1"/>
            </w14:solidFill>
          </w14:textFill>
        </w:rPr>
        <w:t>)，选择【法人注册】，填写注册相关信息，进行实名，实人认证后创建账号。</w:t>
      </w:r>
    </w:p>
    <w:p w14:paraId="262CAEFA">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2.激活申报单位角色</w:t>
      </w:r>
    </w:p>
    <w:p w14:paraId="1B417847">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法人用户通过认证后进入【四川省科学技术奖励综合业务管理系统】(http://202.61.89.121/)，点击【申报单位入口】登录，选择【申报单位角色】，激活即可。</w:t>
      </w:r>
    </w:p>
    <w:p w14:paraId="39AFEBE6">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3.个人用户注册和认证</w:t>
      </w:r>
    </w:p>
    <w:p w14:paraId="2CF9A18F">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法人用户成功注册之后即可注册个人用户，访问【四川省政务服务网】(</w:t>
      </w:r>
      <w:r>
        <w:fldChar w:fldCharType="begin"/>
      </w:r>
      <w:r>
        <w:instrText xml:space="preserve"> HYPERLINK "http://www.sczwfw.gov.cn" </w:instrText>
      </w:r>
      <w:r>
        <w:fldChar w:fldCharType="separate"/>
      </w:r>
      <w:r>
        <w:rPr>
          <w:rStyle w:val="11"/>
          <w:rFonts w:ascii="Times New Roman" w:hAnsi="Times New Roman" w:eastAsia="仿宋_GB2312" w:cs="Times New Roman"/>
          <w:bCs/>
          <w:color w:val="000000" w:themeColor="text1"/>
          <w:sz w:val="30"/>
          <w:szCs w:val="30"/>
          <w14:textFill>
            <w14:solidFill>
              <w14:schemeClr w14:val="tx1"/>
            </w14:solidFill>
          </w14:textFill>
        </w:rPr>
        <w:t>http://www.sczwfw.gov.cn</w:t>
      </w:r>
      <w:r>
        <w:rPr>
          <w:rStyle w:val="11"/>
          <w:rFonts w:ascii="Times New Roman" w:hAnsi="Times New Roman" w:eastAsia="仿宋_GB2312" w:cs="Times New Roman"/>
          <w:bCs/>
          <w:color w:val="000000" w:themeColor="text1"/>
          <w:sz w:val="30"/>
          <w:szCs w:val="30"/>
          <w14:textFill>
            <w14:solidFill>
              <w14:schemeClr w14:val="tx1"/>
            </w14:solidFill>
          </w14:textFill>
        </w:rPr>
        <w:fldChar w:fldCharType="end"/>
      </w:r>
      <w:r>
        <w:rPr>
          <w:rFonts w:ascii="Times New Roman" w:hAnsi="Times New Roman" w:eastAsia="仿宋_GB2312" w:cs="Times New Roman"/>
          <w:bCs/>
          <w:color w:val="000000" w:themeColor="text1"/>
          <w:sz w:val="30"/>
          <w:szCs w:val="30"/>
          <w14:textFill>
            <w14:solidFill>
              <w14:schemeClr w14:val="tx1"/>
            </w14:solidFill>
          </w14:textFill>
        </w:rPr>
        <w:t>)，选择【个人注册】，填写注册相关信息后，选择认证方式进行认证。</w:t>
      </w:r>
    </w:p>
    <w:p w14:paraId="7FB7BDF7">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4.激活申报人角色</w:t>
      </w:r>
    </w:p>
    <w:p w14:paraId="46FFB6D3">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个人用户通过认证以后进入【四川省科学技术奖励综合业务管理系统】(http://202.61.89.121/)，点击【申报人入口】登录，选择【申报人角色】，激活即可。</w:t>
      </w:r>
    </w:p>
    <w:p w14:paraId="5B158D80">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5.填写提名书</w:t>
      </w:r>
    </w:p>
    <w:p w14:paraId="64E240F6">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使用已激活的申报人账号进入【四川省科学技术奖励综合业务管理系统】(http://202.61.89.121/)，选择提名书进行填写。</w:t>
      </w:r>
    </w:p>
    <w:p w14:paraId="56E318EC">
      <w:pPr>
        <w:spacing w:line="550" w:lineRule="exact"/>
        <w:ind w:firstLine="602" w:firstLineChars="200"/>
        <w:outlineLvl w:val="1"/>
        <w:rPr>
          <w:rFonts w:ascii="Times New Roman" w:hAnsi="Times New Roman" w:eastAsia="仿宋_GB2312" w:cs="Times New Roman"/>
          <w:b/>
          <w:bCs/>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sz w:val="30"/>
          <w:szCs w:val="30"/>
          <w14:textFill>
            <w14:solidFill>
              <w14:schemeClr w14:val="tx1"/>
            </w14:solidFill>
          </w14:textFill>
        </w:rPr>
        <w:t>6.服务热线</w:t>
      </w:r>
    </w:p>
    <w:p w14:paraId="614003BA">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用户注册和用户认证相关事项咨询请联系：</w:t>
      </w:r>
    </w:p>
    <w:p w14:paraId="6FDBE948">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（028）12345</w:t>
      </w:r>
    </w:p>
    <w:p w14:paraId="629172E1">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省科技奖励综合业务管理平台技术热线：</w:t>
      </w:r>
    </w:p>
    <w:p w14:paraId="00F10805">
      <w:pPr>
        <w:spacing w:line="550"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(028)85249950、65238332、65238305、65238323</w:t>
      </w:r>
    </w:p>
    <w:p w14:paraId="39CD58F8">
      <w:pPr>
        <w:pStyle w:val="2"/>
        <w:spacing w:beforeAutospacing="0" w:afterAutospacing="0" w:line="578"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ascii="方正小标宋简体" w:hAnsi="方正小标宋简体" w:eastAsia="方正小标宋简体" w:cs="方正小标宋简体"/>
          <w:color w:val="000000" w:themeColor="text1"/>
          <w:sz w:val="36"/>
          <w:szCs w:val="36"/>
          <w14:textFill>
            <w14:solidFill>
              <w14:schemeClr w14:val="tx1"/>
            </w14:solidFill>
          </w14:textFill>
        </w:rPr>
        <w:t>二、进入【四川省政务服务网】方式</w:t>
      </w:r>
    </w:p>
    <w:p w14:paraId="15DB01EE">
      <w:pPr>
        <w:spacing w:line="578"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方式一：进入【四川省科学技术奖励综合业务管理系统】(http://202.61.89.121/)，点击【申报人入口】或【申报单位入口】跳转进入。</w:t>
      </w:r>
    </w:p>
    <w:p w14:paraId="0DE5D29E">
      <w:pPr>
        <w:spacing w:line="578"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方式二：搜索</w:t>
      </w:r>
      <w:r>
        <w:rPr>
          <w:rFonts w:hint="eastAsia" w:ascii="仿宋_GB2312" w:hAnsi="仿宋_GB2312" w:eastAsia="仿宋_GB2312" w:cs="仿宋_GB2312"/>
          <w:bCs/>
          <w:color w:val="000000" w:themeColor="text1"/>
          <w:sz w:val="30"/>
          <w:szCs w:val="30"/>
          <w14:textFill>
            <w14:solidFill>
              <w14:schemeClr w14:val="tx1"/>
            </w14:solidFill>
          </w14:textFill>
        </w:rPr>
        <w:t>“四川省政务服务网”关</w:t>
      </w:r>
      <w:r>
        <w:rPr>
          <w:rFonts w:ascii="Times New Roman" w:hAnsi="Times New Roman" w:eastAsia="仿宋_GB2312" w:cs="Times New Roman"/>
          <w:bCs/>
          <w:color w:val="000000" w:themeColor="text1"/>
          <w:sz w:val="30"/>
          <w:szCs w:val="30"/>
          <w14:textFill>
            <w14:solidFill>
              <w14:schemeClr w14:val="tx1"/>
            </w14:solidFill>
          </w14:textFill>
        </w:rPr>
        <w:t>键字，点击搜索结果进入，如下图所示：</w:t>
      </w:r>
    </w:p>
    <w:p w14:paraId="44CDB1FE">
      <w:pPr>
        <w:jc w:val="center"/>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drawing>
          <wp:inline distT="0" distB="0" distL="0" distR="0">
            <wp:extent cx="5270500" cy="23114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2311400"/>
                    </a:xfrm>
                    <a:prstGeom prst="rect">
                      <a:avLst/>
                    </a:prstGeom>
                    <a:noFill/>
                    <a:ln>
                      <a:noFill/>
                    </a:ln>
                  </pic:spPr>
                </pic:pic>
              </a:graphicData>
            </a:graphic>
          </wp:inline>
        </w:drawing>
      </w:r>
    </w:p>
    <w:p w14:paraId="223238C3">
      <w:pPr>
        <w:spacing w:line="578"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方式三：输入网址</w:t>
      </w:r>
      <w:r>
        <w:fldChar w:fldCharType="begin"/>
      </w:r>
      <w:r>
        <w:instrText xml:space="preserve"> HYPERLINK "http://www.sczwfw.gov.cn" </w:instrText>
      </w:r>
      <w:r>
        <w:fldChar w:fldCharType="separate"/>
      </w:r>
      <w:r>
        <w:rPr>
          <w:rFonts w:ascii="Times New Roman" w:hAnsi="Times New Roman" w:cs="Times New Roman"/>
          <w:color w:val="000000" w:themeColor="text1"/>
          <w:sz w:val="28"/>
          <w:szCs w:val="28"/>
          <w14:textFill>
            <w14:solidFill>
              <w14:schemeClr w14:val="tx1"/>
            </w14:solidFill>
          </w14:textFill>
        </w:rPr>
        <w:t>http://www.sczwfw.gov.cn</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bCs/>
          <w:color w:val="000000" w:themeColor="text1"/>
          <w:sz w:val="28"/>
          <w:szCs w:val="28"/>
          <w14:textFill>
            <w14:solidFill>
              <w14:schemeClr w14:val="tx1"/>
            </w14:solidFill>
          </w14:textFill>
        </w:rPr>
        <w:t>直接进入；</w:t>
      </w:r>
    </w:p>
    <w:p w14:paraId="7BB8625C">
      <w:pPr>
        <w:pStyle w:val="2"/>
        <w:widowControl/>
        <w:spacing w:before="156" w:beforeLines="50" w:beforeAutospacing="0" w:afterAutospacing="0" w:line="578"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ascii="方正小标宋简体" w:hAnsi="方正小标宋简体" w:eastAsia="方正小标宋简体" w:cs="方正小标宋简体"/>
          <w:color w:val="000000" w:themeColor="text1"/>
          <w:sz w:val="36"/>
          <w:szCs w:val="36"/>
          <w14:textFill>
            <w14:solidFill>
              <w14:schemeClr w14:val="tx1"/>
            </w14:solidFill>
          </w14:textFill>
        </w:rPr>
        <w:t>三、如何查看认证情况</w:t>
      </w:r>
    </w:p>
    <w:p w14:paraId="6BA2553C">
      <w:pPr>
        <w:spacing w:line="578" w:lineRule="exact"/>
        <w:ind w:firstLine="600" w:firstLineChars="200"/>
        <w:rPr>
          <w:rFonts w:ascii="Times New Roman" w:hAnsi="Times New Roman" w:eastAsia="仿宋_GB2312" w:cs="Times New Roman"/>
          <w:bCs/>
          <w:color w:val="000000" w:themeColor="text1"/>
          <w:sz w:val="30"/>
          <w:szCs w:val="30"/>
          <w14:textFill>
            <w14:solidFill>
              <w14:schemeClr w14:val="tx1"/>
            </w14:solidFill>
          </w14:textFill>
        </w:rPr>
      </w:pPr>
      <w:r>
        <w:rPr>
          <w:rFonts w:ascii="Times New Roman" w:hAnsi="Times New Roman" w:eastAsia="仿宋_GB2312" w:cs="Times New Roman"/>
          <w:bCs/>
          <w:color w:val="000000" w:themeColor="text1"/>
          <w:sz w:val="30"/>
          <w:szCs w:val="30"/>
          <w14:textFill>
            <w14:solidFill>
              <w14:schemeClr w14:val="tx1"/>
            </w14:solidFill>
          </w14:textFill>
        </w:rPr>
        <w:t>（1）访问【四川省政务服务网】(</w:t>
      </w:r>
      <w:r>
        <w:fldChar w:fldCharType="begin"/>
      </w:r>
      <w:r>
        <w:instrText xml:space="preserve"> HYPERLINK "http://www.sczwfw.gov.cn" </w:instrText>
      </w:r>
      <w:r>
        <w:fldChar w:fldCharType="separate"/>
      </w:r>
      <w:r>
        <w:rPr>
          <w:rFonts w:ascii="Times New Roman" w:hAnsi="Times New Roman" w:eastAsia="仿宋_GB2312" w:cs="Times New Roman"/>
          <w:bCs/>
          <w:color w:val="000000" w:themeColor="text1"/>
          <w:sz w:val="30"/>
          <w:szCs w:val="30"/>
          <w14:textFill>
            <w14:solidFill>
              <w14:schemeClr w14:val="tx1"/>
            </w14:solidFill>
          </w14:textFill>
        </w:rPr>
        <w:t>http://www.sczwfw.gov.cn</w:t>
      </w:r>
      <w:r>
        <w:rPr>
          <w:rFonts w:ascii="Times New Roman" w:hAnsi="Times New Roman" w:eastAsia="仿宋_GB2312" w:cs="Times New Roman"/>
          <w:bCs/>
          <w:color w:val="000000" w:themeColor="text1"/>
          <w:sz w:val="30"/>
          <w:szCs w:val="30"/>
          <w14:textFill>
            <w14:solidFill>
              <w14:schemeClr w14:val="tx1"/>
            </w14:solidFill>
          </w14:textFill>
        </w:rPr>
        <w:fldChar w:fldCharType="end"/>
      </w:r>
      <w:r>
        <w:rPr>
          <w:rFonts w:ascii="Times New Roman" w:hAnsi="Times New Roman" w:eastAsia="仿宋_GB2312" w:cs="Times New Roman"/>
          <w:bCs/>
          <w:color w:val="000000" w:themeColor="text1"/>
          <w:sz w:val="30"/>
          <w:szCs w:val="30"/>
          <w14:textFill>
            <w14:solidFill>
              <w14:schemeClr w14:val="tx1"/>
            </w14:solidFill>
          </w14:textFill>
        </w:rPr>
        <w:t>)，如下图所示：</w:t>
      </w:r>
    </w:p>
    <w:p w14:paraId="4DACDBB4">
      <w:pPr>
        <w:jc w:val="center"/>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0500" cy="25273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2527300"/>
                    </a:xfrm>
                    <a:prstGeom prst="rect">
                      <a:avLst/>
                    </a:prstGeom>
                    <a:noFill/>
                    <a:ln>
                      <a:noFill/>
                    </a:ln>
                  </pic:spPr>
                </pic:pic>
              </a:graphicData>
            </a:graphic>
          </wp:inline>
        </w:drawing>
      </w:r>
    </w:p>
    <w:p w14:paraId="7B755A6F">
      <w:pPr>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点击右上角“登录”进入登录页面，选择【个人登录】或【法人登录】填写登录，如下图所示：</w:t>
      </w:r>
    </w:p>
    <w:p w14:paraId="601B508E">
      <w:pPr>
        <w:jc w:val="center"/>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22900" cy="2451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2900" cy="2451100"/>
                    </a:xfrm>
                    <a:prstGeom prst="rect">
                      <a:avLst/>
                    </a:prstGeom>
                    <a:noFill/>
                    <a:ln>
                      <a:noFill/>
                    </a:ln>
                  </pic:spPr>
                </pic:pic>
              </a:graphicData>
            </a:graphic>
          </wp:inline>
        </w:drawing>
      </w:r>
    </w:p>
    <w:p w14:paraId="12EE3792">
      <w:pPr>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（3）即可查看认证状态，如下所示：</w:t>
      </w:r>
    </w:p>
    <w:p w14:paraId="57D6A9AA">
      <w:pPr>
        <w:jc w:val="center"/>
        <w:rPr>
          <w:rFonts w:ascii="Times New Roman" w:hAnsi="Times New Roman" w:eastAsia="仿宋_GB2312"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22900" cy="24765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22900" cy="2476500"/>
                    </a:xfrm>
                    <a:prstGeom prst="rect">
                      <a:avLst/>
                    </a:prstGeom>
                    <a:noFill/>
                    <a:ln>
                      <a:noFill/>
                    </a:ln>
                  </pic:spPr>
                </pic:pic>
              </a:graphicData>
            </a:graphic>
          </wp:inline>
        </w:drawing>
      </w:r>
    </w:p>
    <w:p w14:paraId="6137BF7D">
      <w:pPr>
        <w:pStyle w:val="2"/>
        <w:widowControl/>
        <w:spacing w:beforeAutospacing="0" w:afterAutospacing="0" w:line="578" w:lineRule="exact"/>
        <w:jc w:val="center"/>
        <w:rPr>
          <w:rFonts w:hint="default" w:ascii="Times New Roman" w:hAnsi="Times New Roman" w:eastAsia="华文中宋"/>
          <w:color w:val="000000" w:themeColor="text1"/>
          <w:sz w:val="36"/>
          <w:szCs w:val="36"/>
          <w14:textFill>
            <w14:solidFill>
              <w14:schemeClr w14:val="tx1"/>
            </w14:solidFill>
          </w14:textFill>
        </w:rPr>
      </w:pPr>
      <w:r>
        <w:rPr>
          <w:rFonts w:hint="default" w:ascii="Times New Roman" w:hAnsi="Times New Roman" w:eastAsia="华文中宋"/>
          <w:color w:val="000000" w:themeColor="text1"/>
          <w:sz w:val="36"/>
          <w:szCs w:val="36"/>
          <w14:textFill>
            <w14:solidFill>
              <w14:schemeClr w14:val="tx1"/>
            </w14:solidFill>
          </w14:textFill>
        </w:rPr>
        <w:t>四、法人用户注册和认证</w:t>
      </w:r>
    </w:p>
    <w:p w14:paraId="32BA0B5B">
      <w:pPr>
        <w:spacing w:line="360" w:lineRule="auto"/>
        <w:ind w:firstLine="42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（1）首先登录四川政务服务网（http://www.sczwfw.gov.cn），点击登录，进入登录页面。</w:t>
      </w:r>
    </w:p>
    <w:p w14:paraId="26527FF2">
      <w:pPr>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0500" cy="25273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2527300"/>
                    </a:xfrm>
                    <a:prstGeom prst="rect">
                      <a:avLst/>
                    </a:prstGeom>
                    <a:noFill/>
                    <a:ln>
                      <a:noFill/>
                    </a:ln>
                  </pic:spPr>
                </pic:pic>
              </a:graphicData>
            </a:graphic>
          </wp:inline>
        </w:drawing>
      </w:r>
    </w:p>
    <w:p w14:paraId="4603313E">
      <w:pPr>
        <w:ind w:firstLine="560" w:firstLineChars="200"/>
        <w:rPr>
          <w:rFonts w:hint="eastAsia"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（2）进入登录页面，选择法人登录，点击立即注册，进入注册页面</w:t>
      </w:r>
      <w:r>
        <w:rPr>
          <w:rFonts w:hint="eastAsia" w:ascii="Times New Roman" w:hAnsi="Times New Roman" w:eastAsia="仿宋_GB2312" w:cs="Times New Roman"/>
          <w:color w:val="000000" w:themeColor="text1"/>
          <w:sz w:val="28"/>
          <w:szCs w:val="28"/>
          <w14:textFill>
            <w14:solidFill>
              <w14:schemeClr w14:val="tx1"/>
            </w14:solidFill>
          </w14:textFill>
        </w:rPr>
        <w:t>。</w:t>
      </w:r>
    </w:p>
    <w:p w14:paraId="0384F88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689600" cy="3383915"/>
            <wp:effectExtent l="0" t="0" r="635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96455" cy="3388523"/>
                    </a:xfrm>
                    <a:prstGeom prst="rect">
                      <a:avLst/>
                    </a:prstGeom>
                    <a:noFill/>
                    <a:ln>
                      <a:noFill/>
                    </a:ln>
                  </pic:spPr>
                </pic:pic>
              </a:graphicData>
            </a:graphic>
          </wp:inline>
        </w:drawing>
      </w:r>
    </w:p>
    <w:p w14:paraId="1F40420B">
      <w:pPr>
        <w:spacing w:line="578"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（3）省内企业+法定代表人身份所在地为中国大陆</w:t>
      </w:r>
    </w:p>
    <w:p w14:paraId="7F326D65">
      <w:pPr>
        <w:spacing w:line="578"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第一步：实名认证</w:t>
      </w:r>
    </w:p>
    <w:p w14:paraId="0B6A8A0D">
      <w:pPr>
        <w:spacing w:line="578"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申请人注册时，填写单位名称、企业统一社会代码、法定代表人姓名、法定代表人证件号等相关信息进行工商企业实名认证+法定代表人身份证认证</w:t>
      </w:r>
      <w:r>
        <w:rPr>
          <w:rFonts w:hint="eastAsia" w:ascii="Times New Roman" w:hAnsi="Times New Roman" w:eastAsia="仿宋_GB2312" w:cs="Times New Roman"/>
          <w:color w:val="000000" w:themeColor="text1"/>
          <w:sz w:val="28"/>
          <w:szCs w:val="28"/>
          <w14:textFill>
            <w14:solidFill>
              <w14:schemeClr w14:val="tx1"/>
            </w14:solidFill>
          </w14:textFill>
        </w:rPr>
        <w:t>。</w:t>
      </w:r>
    </w:p>
    <w:p w14:paraId="113ECB20">
      <w:pPr>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389245" cy="37401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b="12012"/>
                    <a:stretch>
                      <a:fillRect/>
                    </a:stretch>
                  </pic:blipFill>
                  <pic:spPr>
                    <a:xfrm>
                      <a:off x="0" y="0"/>
                      <a:ext cx="5397871" cy="3745994"/>
                    </a:xfrm>
                    <a:prstGeom prst="rect">
                      <a:avLst/>
                    </a:prstGeom>
                    <a:noFill/>
                    <a:ln>
                      <a:noFill/>
                    </a:ln>
                  </pic:spPr>
                </pic:pic>
              </a:graphicData>
            </a:graphic>
          </wp:inline>
        </w:drawing>
      </w:r>
    </w:p>
    <w:p w14:paraId="31033928">
      <w:pPr>
        <w:spacing w:line="578"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实名认证通过后展示天府通办识别二维码进入人脸识别流程，人脸识别通过后，进入下一步账号信息填报。</w:t>
      </w:r>
    </w:p>
    <w:p w14:paraId="63B485A7">
      <w:pPr>
        <w:jc w:val="center"/>
        <w:rPr>
          <w:rFonts w:ascii="Times New Roman" w:hAnsi="Times New Roman" w:eastAsia="仿宋_GB2312" w:cs="Times New Roman"/>
          <w:color w:val="000000" w:themeColor="text1"/>
          <w:sz w:val="28"/>
          <w:szCs w:val="28"/>
          <w:lang w:bidi="ar"/>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35600" cy="2578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35600" cy="2578100"/>
                    </a:xfrm>
                    <a:prstGeom prst="rect">
                      <a:avLst/>
                    </a:prstGeom>
                    <a:noFill/>
                    <a:ln>
                      <a:noFill/>
                    </a:ln>
                  </pic:spPr>
                </pic:pic>
              </a:graphicData>
            </a:graphic>
          </wp:inline>
        </w:drawing>
      </w:r>
    </w:p>
    <w:p w14:paraId="1F78348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第二步：账号信息填报</w:t>
      </w:r>
    </w:p>
    <w:p w14:paraId="703C3C7B">
      <w:pPr>
        <w:jc w:val="right"/>
        <w:rPr>
          <w:rFonts w:ascii="Times New Roman" w:hAnsi="Times New Roman" w:eastAsia="仿宋_GB2312" w:cs="Times New Roman"/>
          <w:color w:val="000000" w:themeColor="text1"/>
          <w:sz w:val="28"/>
          <w:szCs w:val="28"/>
          <w14:textFill>
            <w14:solidFill>
              <w14:schemeClr w14:val="tx1"/>
            </w14:solidFill>
          </w14:textFill>
        </w:rPr>
        <w:sectPr>
          <w:footerReference r:id="rId5" w:type="even"/>
          <w:pgSz w:w="11906" w:h="16838"/>
          <w:pgMar w:top="2098" w:right="1474" w:bottom="1985" w:left="1588" w:header="851" w:footer="992" w:gutter="0"/>
          <w:cols w:space="425" w:num="1"/>
          <w:docGrid w:type="lines" w:linePitch="312" w:charSpace="0"/>
        </w:sectPr>
      </w:pPr>
      <w:r>
        <w:rPr>
          <w:rFonts w:ascii="Times New Roman" w:hAnsi="Times New Roman" w:eastAsia="仿宋_GB2312" w:cs="Times New Roman"/>
          <w:color w:val="000000" w:themeColor="text1"/>
          <w:sz w:val="28"/>
          <w:szCs w:val="28"/>
          <w14:textFill>
            <w14:solidFill>
              <w14:schemeClr w14:val="tx1"/>
            </w14:solidFill>
          </w14:textFill>
        </w:rPr>
        <w:t>用户填写账号名（手机号）、账号密码等基本信息，完成法人账号创建。</w:t>
      </w:r>
    </w:p>
    <w:p w14:paraId="71CABD54">
      <w:pPr>
        <w:jc w:val="both"/>
        <w:rPr>
          <w:rFonts w:hint="eastAsia" w:ascii="Times New Roman" w:hAnsi="Times New Roman" w:eastAsia="仿宋_GB2312" w:cs="Times New Roman"/>
          <w:color w:val="000000" w:themeColor="text1"/>
          <w:kern w:val="0"/>
          <w:sz w:val="32"/>
          <w:szCs w:val="32"/>
          <w:lang w:bidi="ar"/>
          <w14:textFill>
            <w14:solidFill>
              <w14:schemeClr w14:val="tx1"/>
            </w14:solidFill>
          </w14:textFill>
        </w:rPr>
      </w:pPr>
      <w:bookmarkStart w:id="2" w:name="_GoBack"/>
      <w:bookmarkEnd w:id="2"/>
    </w:p>
    <w:sectPr>
      <w:footerReference r:id="rId6"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Noto Sans SC">
    <w:altName w:val="Arial Unicode MS"/>
    <w:panose1 w:val="00000000000000000000"/>
    <w:charset w:val="86"/>
    <w:family w:val="auto"/>
    <w:pitch w:val="default"/>
    <w:sig w:usb0="00000000" w:usb1="00000000" w:usb2="00000016" w:usb3="00000000" w:csb0="60060107" w:csb1="00000000"/>
  </w:font>
  <w:font w:name="方正楷体简体">
    <w:altName w:val="楷体_GB2312"/>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E9C48">
    <w:pPr>
      <w:pStyle w:val="5"/>
      <w:jc w:val="right"/>
    </w:pPr>
    <w:r>
      <w:rPr>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B3CA7">
    <w:pPr>
      <w:pStyle w:val="5"/>
    </w:pPr>
    <w:r>
      <w:rPr>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0F084">
    <w:pPr>
      <w:pStyle w:val="5"/>
    </w:pPr>
    <w:r>
      <w:rPr>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F791A">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3OWZkNTdiMDZlMzZjZDkyODA0ODkyMzdkZGUyODgifQ=="/>
  </w:docVars>
  <w:rsids>
    <w:rsidRoot w:val="16E277CE"/>
    <w:rsid w:val="000E1286"/>
    <w:rsid w:val="003B0F2F"/>
    <w:rsid w:val="006B59E7"/>
    <w:rsid w:val="006C533E"/>
    <w:rsid w:val="00825797"/>
    <w:rsid w:val="00A56CA6"/>
    <w:rsid w:val="00B31E6E"/>
    <w:rsid w:val="00C854D8"/>
    <w:rsid w:val="00CD7446"/>
    <w:rsid w:val="00D04406"/>
    <w:rsid w:val="00F56C88"/>
    <w:rsid w:val="00FC5CA8"/>
    <w:rsid w:val="16E277CE"/>
    <w:rsid w:val="3B844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Salutation"/>
    <w:basedOn w:val="1"/>
    <w:next w:val="1"/>
    <w:link w:val="16"/>
    <w:unhideWhenUsed/>
    <w:qFormat/>
    <w:uiPriority w:val="99"/>
    <w:rPr>
      <w:rFonts w:ascii="Calibri" w:hAnsi="Calibri" w:eastAsia="宋体" w:cs="Times New Roman"/>
      <w:sz w:val="32"/>
    </w:rPr>
  </w:style>
  <w:style w:type="paragraph" w:styleId="4">
    <w:name w:val="Balloon Text"/>
    <w:basedOn w:val="1"/>
    <w:link w:val="14"/>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99"/>
    <w:rPr>
      <w:color w:val="0000FF"/>
      <w:u w:val="single"/>
    </w:rPr>
  </w:style>
  <w:style w:type="character" w:customStyle="1" w:styleId="12">
    <w:name w:val="页眉 Char"/>
    <w:basedOn w:val="10"/>
    <w:link w:val="6"/>
    <w:uiPriority w:val="0"/>
    <w:rPr>
      <w:kern w:val="2"/>
      <w:sz w:val="18"/>
      <w:szCs w:val="18"/>
    </w:rPr>
  </w:style>
  <w:style w:type="character" w:customStyle="1" w:styleId="13">
    <w:name w:val="页脚 Char"/>
    <w:basedOn w:val="10"/>
    <w:link w:val="5"/>
    <w:uiPriority w:val="0"/>
    <w:rPr>
      <w:kern w:val="2"/>
      <w:sz w:val="18"/>
      <w:szCs w:val="18"/>
    </w:rPr>
  </w:style>
  <w:style w:type="character" w:customStyle="1" w:styleId="14">
    <w:name w:val="批注框文本 Char"/>
    <w:basedOn w:val="10"/>
    <w:link w:val="4"/>
    <w:uiPriority w:val="0"/>
    <w:rPr>
      <w:kern w:val="2"/>
      <w:sz w:val="18"/>
      <w:szCs w:val="18"/>
    </w:rPr>
  </w:style>
  <w:style w:type="character" w:customStyle="1" w:styleId="15">
    <w:name w:val="标题 1 Char"/>
    <w:basedOn w:val="10"/>
    <w:link w:val="2"/>
    <w:uiPriority w:val="0"/>
    <w:rPr>
      <w:rFonts w:ascii="宋体" w:hAnsi="宋体" w:eastAsia="宋体" w:cs="Times New Roman"/>
      <w:b/>
      <w:bCs/>
      <w:kern w:val="44"/>
      <w:sz w:val="48"/>
      <w:szCs w:val="48"/>
    </w:rPr>
  </w:style>
  <w:style w:type="character" w:customStyle="1" w:styleId="16">
    <w:name w:val="称呼 Char"/>
    <w:basedOn w:val="10"/>
    <w:link w:val="3"/>
    <w:uiPriority w:val="99"/>
    <w:rPr>
      <w:rFonts w:ascii="Calibri" w:hAnsi="Calibri" w:eastAsia="宋体" w:cs="Times New Roman"/>
      <w:kern w:val="2"/>
      <w:sz w:val="32"/>
      <w:szCs w:val="24"/>
    </w:rPr>
  </w:style>
  <w:style w:type="paragraph" w:customStyle="1" w:styleId="17">
    <w:name w:val="版权信息"/>
    <w:basedOn w:val="1"/>
    <w:qFormat/>
    <w:uiPriority w:val="0"/>
    <w:pPr>
      <w:jc w:val="center"/>
    </w:pPr>
    <w:rPr>
      <w:rFonts w:ascii="微软雅黑" w:hAnsi="微软雅黑" w:eastAsia="微软雅黑" w:cs="Times New Roman"/>
      <w:sz w:val="18"/>
      <w:szCs w:val="1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7957</Words>
  <Characters>8617</Characters>
  <Lines>65</Lines>
  <Paragraphs>18</Paragraphs>
  <TotalTime>20</TotalTime>
  <ScaleCrop>false</ScaleCrop>
  <LinksUpToDate>false</LinksUpToDate>
  <CharactersWithSpaces>8676</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2024-10-28T02:11:00Z</dcterms:created>
  <dc:creator>李菊</dc:creator>
  <cp:lastModifiedBy>77777</cp:lastModifiedBy>
  <cp:lastPrinted>2024-10-28T09:16:00Z</cp:lastPrinted>
  <dcterms:modified xsi:type="dcterms:W3CDTF">2024-10-29T06:27:36Z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3760215A5C6F46FB803457BBC0CEF05F_11</vt:lpwstr>
  </property>
</Properties>
</file>